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0C" w:rsidRPr="007567CB" w:rsidRDefault="00B2780C" w:rsidP="00B2780C">
      <w:pPr>
        <w:pStyle w:val="Nzov"/>
        <w:tabs>
          <w:tab w:val="left" w:pos="1457"/>
          <w:tab w:val="center" w:pos="4153"/>
        </w:tabs>
        <w:jc w:val="both"/>
        <w:rPr>
          <w:i/>
          <w:iCs/>
          <w:sz w:val="20"/>
        </w:rPr>
      </w:pPr>
      <w:r w:rsidRPr="007567CB">
        <w:rPr>
          <w:noProof/>
          <w:color w:val="1F497D"/>
          <w:lang w:eastAsia="sk-SK"/>
        </w:rPr>
        <w:drawing>
          <wp:inline distT="0" distB="0" distL="0" distR="0" wp14:anchorId="5A162031" wp14:editId="1DDDCBCC">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567CB">
        <w:rPr>
          <w:color w:val="1F497D"/>
        </w:rPr>
        <w:t xml:space="preserve">                                  </w:t>
      </w:r>
      <w:r w:rsidRPr="007567CB">
        <w:rPr>
          <w:noProof/>
          <w:color w:val="000000"/>
          <w:sz w:val="15"/>
          <w:szCs w:val="15"/>
          <w:lang w:eastAsia="sk-SK"/>
        </w:rPr>
        <w:drawing>
          <wp:inline distT="0" distB="0" distL="0" distR="0" wp14:anchorId="60E01C56" wp14:editId="10ABF72C">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rsidR="00B2780C" w:rsidRPr="007567CB" w:rsidRDefault="00B2780C" w:rsidP="00B2780C">
      <w:pPr>
        <w:pStyle w:val="Hlavika"/>
        <w:jc w:val="center"/>
        <w:rPr>
          <w:b/>
          <w:color w:val="000000"/>
          <w:sz w:val="15"/>
          <w:szCs w:val="15"/>
        </w:rPr>
      </w:pPr>
      <w:r w:rsidRPr="007567CB">
        <w:rPr>
          <w:i/>
          <w:iCs/>
          <w:sz w:val="20"/>
        </w:rPr>
        <w:t xml:space="preserve">         Pôdohospodárska platobná agentúra                                        </w:t>
      </w:r>
      <w:r w:rsidRPr="007567CB">
        <w:rPr>
          <w:b/>
          <w:color w:val="000000"/>
          <w:sz w:val="15"/>
          <w:szCs w:val="15"/>
        </w:rPr>
        <w:t xml:space="preserve">Európsky poľnohospodársky fond pre rozvoj vidieka: </w:t>
      </w:r>
    </w:p>
    <w:p w:rsidR="00B2780C" w:rsidRPr="007567CB" w:rsidRDefault="00B2780C" w:rsidP="00263A40">
      <w:pPr>
        <w:pStyle w:val="Nzov"/>
        <w:tabs>
          <w:tab w:val="center" w:pos="0"/>
          <w:tab w:val="left" w:pos="1457"/>
          <w:tab w:val="left" w:pos="5529"/>
        </w:tabs>
        <w:jc w:val="both"/>
      </w:pPr>
      <w:r w:rsidRPr="007567CB">
        <w:rPr>
          <w:b w:val="0"/>
          <w:color w:val="000000"/>
          <w:sz w:val="15"/>
          <w:szCs w:val="15"/>
        </w:rPr>
        <w:t xml:space="preserve">       </w:t>
      </w:r>
      <w:r w:rsidR="00263A40">
        <w:rPr>
          <w:b w:val="0"/>
          <w:color w:val="000000"/>
          <w:sz w:val="15"/>
          <w:szCs w:val="15"/>
        </w:rPr>
        <w:tab/>
      </w:r>
      <w:r w:rsidR="00263A40">
        <w:rPr>
          <w:b w:val="0"/>
          <w:color w:val="000000"/>
          <w:sz w:val="15"/>
          <w:szCs w:val="15"/>
        </w:rPr>
        <w:tab/>
      </w:r>
      <w:r w:rsidRPr="007567CB">
        <w:rPr>
          <w:b w:val="0"/>
          <w:color w:val="000000"/>
          <w:sz w:val="15"/>
          <w:szCs w:val="15"/>
        </w:rPr>
        <w:t xml:space="preserve">Európa investuje do vidieckych oblastí </w:t>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p>
    <w:p w:rsidR="00B2780C" w:rsidRPr="007567CB" w:rsidRDefault="00B2780C" w:rsidP="00B2780C">
      <w:pPr>
        <w:pStyle w:val="Normlnywebov"/>
        <w:spacing w:before="0" w:after="0"/>
        <w:jc w:val="center"/>
        <w:rPr>
          <w:rFonts w:ascii="Times New Roman" w:hAnsi="Times New Roman" w:cs="Times New Roman"/>
          <w:b/>
          <w:bCs/>
          <w:sz w:val="24"/>
          <w:szCs w:val="24"/>
        </w:rPr>
      </w:pPr>
    </w:p>
    <w:p w:rsidR="00B2780C" w:rsidRPr="007567CB" w:rsidRDefault="00B2780C" w:rsidP="00B2780C">
      <w:pPr>
        <w:pStyle w:val="Normlnywebov"/>
        <w:spacing w:before="0" w:after="0"/>
        <w:jc w:val="center"/>
        <w:rPr>
          <w:rFonts w:ascii="Times New Roman" w:hAnsi="Times New Roman" w:cs="Times New Roman"/>
          <w:b/>
          <w:bCs/>
          <w:caps/>
          <w:sz w:val="24"/>
          <w:szCs w:val="24"/>
        </w:rPr>
      </w:pPr>
      <w:r w:rsidRPr="007567CB">
        <w:rPr>
          <w:rFonts w:ascii="Times New Roman" w:hAnsi="Times New Roman" w:cs="Times New Roman"/>
          <w:b/>
          <w:bCs/>
          <w:sz w:val="24"/>
          <w:szCs w:val="24"/>
        </w:rPr>
        <w:t>VÝZVA NA PREDKLADANIE ŽIADOSTÍ O NENÁVRATNÝ FINANČNÝ PRÍSPEVOK</w:t>
      </w:r>
      <w:r w:rsidRPr="007567CB">
        <w:rPr>
          <w:rFonts w:ascii="Times New Roman" w:hAnsi="Times New Roman" w:cs="Times New Roman"/>
          <w:b/>
          <w:bCs/>
          <w:caps/>
          <w:sz w:val="24"/>
          <w:szCs w:val="24"/>
        </w:rPr>
        <w:t xml:space="preserve"> z programu rozvoja vidieka </w:t>
      </w:r>
    </w:p>
    <w:p w:rsidR="00B2780C" w:rsidRPr="007567CB" w:rsidRDefault="00B2780C" w:rsidP="00B2780C">
      <w:pPr>
        <w:pStyle w:val="Normlnywebov"/>
        <w:spacing w:before="0" w:after="0"/>
        <w:jc w:val="center"/>
        <w:rPr>
          <w:rFonts w:ascii="Times New Roman" w:hAnsi="Times New Roman" w:cs="Times New Roman"/>
          <w:b/>
          <w:bCs/>
          <w:sz w:val="24"/>
          <w:szCs w:val="24"/>
        </w:rPr>
      </w:pPr>
      <w:r w:rsidRPr="007567CB">
        <w:rPr>
          <w:rFonts w:ascii="Times New Roman" w:hAnsi="Times New Roman" w:cs="Times New Roman"/>
          <w:b/>
          <w:bCs/>
          <w:caps/>
          <w:sz w:val="24"/>
          <w:szCs w:val="24"/>
        </w:rPr>
        <w:t xml:space="preserve">slovenskej republiky 2014 – 2020 </w:t>
      </w:r>
    </w:p>
    <w:p w:rsidR="00B2780C" w:rsidRPr="007567CB" w:rsidRDefault="00B2780C" w:rsidP="00B2780C">
      <w:pPr>
        <w:pStyle w:val="Hlavika"/>
        <w:jc w:val="center"/>
        <w:rPr>
          <w:b/>
          <w:bCs/>
        </w:rPr>
      </w:pPr>
    </w:p>
    <w:p w:rsidR="00B2780C" w:rsidRPr="007567CB" w:rsidRDefault="00B2780C" w:rsidP="00B2780C">
      <w:pPr>
        <w:pStyle w:val="Zarkazkladnhotextu"/>
        <w:ind w:firstLine="257"/>
        <w:jc w:val="center"/>
        <w:rPr>
          <w:sz w:val="24"/>
          <w:szCs w:val="24"/>
        </w:rPr>
      </w:pPr>
      <w:r w:rsidRPr="007567CB">
        <w:rPr>
          <w:b/>
          <w:sz w:val="24"/>
          <w:szCs w:val="24"/>
        </w:rPr>
        <w:t>Číslo výzvy:  1</w:t>
      </w:r>
      <w:r w:rsidR="00263A40">
        <w:rPr>
          <w:b/>
          <w:sz w:val="24"/>
          <w:szCs w:val="24"/>
        </w:rPr>
        <w:t>6</w:t>
      </w:r>
      <w:r w:rsidRPr="007567CB">
        <w:rPr>
          <w:b/>
          <w:sz w:val="24"/>
          <w:szCs w:val="24"/>
        </w:rPr>
        <w:t>/PRV/2015</w:t>
      </w:r>
    </w:p>
    <w:p w:rsidR="00B2780C" w:rsidRPr="007567CB" w:rsidRDefault="00B2780C" w:rsidP="00B2780C">
      <w:pPr>
        <w:pStyle w:val="Zarkazkladnhotextu"/>
        <w:ind w:firstLine="257"/>
        <w:rPr>
          <w:sz w:val="24"/>
          <w:szCs w:val="24"/>
        </w:rPr>
      </w:pPr>
    </w:p>
    <w:p w:rsidR="00B2780C" w:rsidRPr="007567CB" w:rsidRDefault="00B2780C" w:rsidP="00B2780C">
      <w:pPr>
        <w:pStyle w:val="Zarkazkladnhotextu"/>
        <w:rPr>
          <w:sz w:val="24"/>
          <w:szCs w:val="24"/>
        </w:rPr>
      </w:pPr>
      <w:r w:rsidRPr="007567CB">
        <w:rPr>
          <w:color w:val="000000"/>
          <w:sz w:val="24"/>
          <w:szCs w:val="24"/>
        </w:rPr>
        <w:t xml:space="preserve">Pôdohospodárska platobná agentúra </w:t>
      </w:r>
      <w:proofErr w:type="spellStart"/>
      <w:r w:rsidRPr="007567CB">
        <w:rPr>
          <w:color w:val="000000"/>
          <w:sz w:val="24"/>
          <w:szCs w:val="24"/>
        </w:rPr>
        <w:t>Dobrovičova</w:t>
      </w:r>
      <w:proofErr w:type="spellEnd"/>
      <w:r w:rsidRPr="007567CB">
        <w:rPr>
          <w:color w:val="000000"/>
          <w:sz w:val="24"/>
          <w:szCs w:val="24"/>
        </w:rPr>
        <w:t xml:space="preserve"> 12, 815 26 Bratislava, IČO: 30 794 323  (ďalej len „PPA“), ako poskytovateľ nenávratného finančného príspevku z Programu rozvoja vidieka SR 2014 - 2020 (ďalej len „PRV“), vyhlasuje v zmysle ustanovení § 17, zákona </w:t>
      </w:r>
      <w:r w:rsidR="00263A40">
        <w:rPr>
          <w:color w:val="000000"/>
          <w:sz w:val="24"/>
          <w:szCs w:val="24"/>
        </w:rPr>
        <w:br/>
      </w:r>
      <w:r w:rsidRPr="007567CB">
        <w:rPr>
          <w:color w:val="000000"/>
          <w:sz w:val="24"/>
          <w:szCs w:val="24"/>
        </w:rPr>
        <w:t xml:space="preserve">č. 292/2014 </w:t>
      </w:r>
      <w:proofErr w:type="spellStart"/>
      <w:r w:rsidRPr="007567CB">
        <w:rPr>
          <w:color w:val="000000"/>
          <w:sz w:val="24"/>
          <w:szCs w:val="24"/>
        </w:rPr>
        <w:t>Z.z</w:t>
      </w:r>
      <w:proofErr w:type="spellEnd"/>
      <w:r w:rsidRPr="007567CB">
        <w:rPr>
          <w:color w:val="000000"/>
          <w:sz w:val="24"/>
          <w:szCs w:val="24"/>
        </w:rPr>
        <w:t>. o príspevku poskytovanom z európskych štrukturálnych a investičných fondov a o zmene a doplnení niektorých zákonov a v súlade s platnou Príručkou pre žiadateľa o poskytnutie nenávratného finančného príspevku z PRV (ďalej len „Príručka“)</w:t>
      </w:r>
      <w:r w:rsidRPr="007567CB">
        <w:rPr>
          <w:bCs/>
          <w:color w:val="000000"/>
          <w:sz w:val="24"/>
          <w:szCs w:val="24"/>
        </w:rPr>
        <w:t xml:space="preserve"> </w:t>
      </w:r>
      <w:r w:rsidRPr="007567CB">
        <w:rPr>
          <w:b/>
          <w:bCs/>
          <w:color w:val="000000"/>
          <w:sz w:val="24"/>
          <w:szCs w:val="24"/>
        </w:rPr>
        <w:t xml:space="preserve"> výzvu na predkladanie Žiadostí o poskytnutie nenávratného finančného príspevku z PRV</w:t>
      </w:r>
      <w:r w:rsidRPr="007567CB">
        <w:rPr>
          <w:color w:val="000000"/>
          <w:sz w:val="24"/>
          <w:szCs w:val="24"/>
        </w:rPr>
        <w:t xml:space="preserve"> (ďalej len „výzva“)</w:t>
      </w:r>
    </w:p>
    <w:p w:rsidR="00B2780C" w:rsidRPr="007567CB" w:rsidRDefault="00B2780C" w:rsidP="00B2780C">
      <w:pPr>
        <w:pStyle w:val="Zarkazkladnhotextu"/>
        <w:ind w:firstLine="257"/>
        <w:rPr>
          <w:sz w:val="24"/>
          <w:szCs w:val="24"/>
        </w:rPr>
      </w:pPr>
    </w:p>
    <w:p w:rsidR="00263A40" w:rsidRPr="00263A40" w:rsidRDefault="00263A40" w:rsidP="00263A40">
      <w:pPr>
        <w:ind w:left="1843" w:hanging="1843"/>
        <w:jc w:val="both"/>
        <w:rPr>
          <w:rFonts w:eastAsia="Arial Unicode MS"/>
          <w:b/>
          <w:color w:val="000000"/>
        </w:rPr>
      </w:pPr>
      <w:r w:rsidRPr="00263A40">
        <w:rPr>
          <w:rFonts w:eastAsia="Arial Unicode MS"/>
          <w:b/>
          <w:color w:val="000000"/>
        </w:rPr>
        <w:t xml:space="preserve">pre opatrenie: </w:t>
      </w:r>
      <w:r w:rsidRPr="00263A40">
        <w:rPr>
          <w:rFonts w:eastAsia="Arial Unicode MS"/>
          <w:b/>
          <w:color w:val="000000"/>
        </w:rPr>
        <w:tab/>
      </w:r>
      <w:r>
        <w:rPr>
          <w:rFonts w:eastAsia="Arial Unicode MS"/>
          <w:b/>
          <w:color w:val="000000"/>
        </w:rPr>
        <w:t>5</w:t>
      </w:r>
      <w:r w:rsidRPr="00263A40">
        <w:rPr>
          <w:rFonts w:eastAsia="Arial Unicode MS"/>
          <w:b/>
          <w:color w:val="000000"/>
        </w:rPr>
        <w:t xml:space="preserve"> – Obnova potenciálu poľnohospodárskej výroby poškodeného prírodnými katastrofami a katastrofickými udalosťami a zavedenie vhodných preventívnych opatrení</w:t>
      </w:r>
    </w:p>
    <w:p w:rsidR="00263A40" w:rsidRPr="00263A40" w:rsidRDefault="00263A40" w:rsidP="00263A40">
      <w:pPr>
        <w:jc w:val="both"/>
        <w:rPr>
          <w:rFonts w:eastAsia="Arial Unicode MS"/>
          <w:b/>
          <w:color w:val="000000"/>
        </w:rPr>
      </w:pPr>
    </w:p>
    <w:p w:rsidR="00263A40" w:rsidRPr="00263A40" w:rsidRDefault="00263A40" w:rsidP="00263A40">
      <w:pPr>
        <w:ind w:left="1843" w:hanging="1843"/>
        <w:jc w:val="both"/>
        <w:rPr>
          <w:rFonts w:eastAsia="Arial Unicode MS"/>
          <w:b/>
          <w:color w:val="000000"/>
        </w:rPr>
      </w:pPr>
      <w:proofErr w:type="spellStart"/>
      <w:r w:rsidRPr="00263A40">
        <w:rPr>
          <w:rFonts w:eastAsia="Arial Unicode MS"/>
          <w:b/>
          <w:color w:val="000000"/>
        </w:rPr>
        <w:t>podopatrenie</w:t>
      </w:r>
      <w:proofErr w:type="spellEnd"/>
      <w:r w:rsidRPr="00263A40">
        <w:rPr>
          <w:rFonts w:eastAsia="Arial Unicode MS"/>
          <w:b/>
          <w:color w:val="000000"/>
        </w:rPr>
        <w:t xml:space="preserve">: </w:t>
      </w:r>
      <w:r w:rsidRPr="00263A40">
        <w:rPr>
          <w:rFonts w:eastAsia="Arial Unicode MS"/>
          <w:b/>
          <w:color w:val="000000"/>
        </w:rPr>
        <w:tab/>
      </w:r>
      <w:r>
        <w:rPr>
          <w:rFonts w:eastAsia="Arial Unicode MS"/>
          <w:b/>
          <w:color w:val="000000"/>
        </w:rPr>
        <w:t>5</w:t>
      </w:r>
      <w:r w:rsidRPr="00263A40">
        <w:rPr>
          <w:rFonts w:eastAsia="Arial Unicode MS"/>
          <w:b/>
          <w:color w:val="000000"/>
        </w:rPr>
        <w:t>.</w:t>
      </w:r>
      <w:r>
        <w:rPr>
          <w:rFonts w:eastAsia="Arial Unicode MS"/>
          <w:b/>
          <w:color w:val="000000"/>
        </w:rPr>
        <w:t>1</w:t>
      </w:r>
      <w:r w:rsidRPr="00263A40">
        <w:rPr>
          <w:rFonts w:eastAsia="Arial Unicode MS"/>
          <w:b/>
          <w:color w:val="000000"/>
        </w:rPr>
        <w:t xml:space="preserve"> – Podpora na investície do preventívnych opatrení zameraných na zníženie následkov pravdepodobných prírodných katastrof, nepriaznivých poveternostných udalostí a katastrofických udalostí</w:t>
      </w:r>
    </w:p>
    <w:p w:rsidR="00B2780C" w:rsidRPr="007567CB" w:rsidRDefault="00B2780C" w:rsidP="00B2780C">
      <w:pPr>
        <w:pStyle w:val="Zarkazkladnhotextu"/>
        <w:ind w:left="2127" w:hanging="2127"/>
        <w:rPr>
          <w:b/>
          <w:color w:val="000000" w:themeColor="text1"/>
          <w:sz w:val="24"/>
          <w:szCs w:val="24"/>
        </w:rPr>
      </w:pPr>
    </w:p>
    <w:p w:rsidR="00B2780C" w:rsidRDefault="00B2780C" w:rsidP="00263A40">
      <w:pPr>
        <w:pStyle w:val="Zarkazkladnhotextu"/>
        <w:tabs>
          <w:tab w:val="right" w:pos="9072"/>
        </w:tabs>
        <w:rPr>
          <w:b/>
          <w:color w:val="000000" w:themeColor="text1"/>
          <w:sz w:val="24"/>
          <w:szCs w:val="24"/>
        </w:rPr>
      </w:pPr>
      <w:r w:rsidRPr="007567CB">
        <w:rPr>
          <w:b/>
          <w:color w:val="000000" w:themeColor="text1"/>
          <w:sz w:val="24"/>
          <w:szCs w:val="24"/>
        </w:rPr>
        <w:t>Dátum vyhlásenia výzvy:</w:t>
      </w:r>
      <w:r w:rsidR="00263A40">
        <w:rPr>
          <w:b/>
          <w:color w:val="000000" w:themeColor="text1"/>
          <w:sz w:val="24"/>
          <w:szCs w:val="24"/>
        </w:rPr>
        <w:t xml:space="preserve"> </w:t>
      </w:r>
      <w:r w:rsidR="00AC23DF" w:rsidRPr="00AC23DF">
        <w:rPr>
          <w:b/>
          <w:color w:val="000000" w:themeColor="text1"/>
          <w:sz w:val="24"/>
          <w:szCs w:val="24"/>
        </w:rPr>
        <w:t>1</w:t>
      </w:r>
      <w:r w:rsidR="002876DA">
        <w:rPr>
          <w:b/>
          <w:color w:val="000000" w:themeColor="text1"/>
          <w:sz w:val="24"/>
          <w:szCs w:val="24"/>
        </w:rPr>
        <w:t>7</w:t>
      </w:r>
      <w:r w:rsidR="00263A40" w:rsidRPr="00AC23DF">
        <w:rPr>
          <w:b/>
          <w:color w:val="000000" w:themeColor="text1"/>
          <w:sz w:val="24"/>
          <w:szCs w:val="24"/>
        </w:rPr>
        <w:t>.</w:t>
      </w:r>
      <w:r w:rsidR="00AC23DF" w:rsidRPr="00AC23DF">
        <w:rPr>
          <w:b/>
          <w:color w:val="000000" w:themeColor="text1"/>
          <w:sz w:val="24"/>
          <w:szCs w:val="24"/>
        </w:rPr>
        <w:t>12</w:t>
      </w:r>
      <w:r w:rsidR="00263A40" w:rsidRPr="00AC23DF">
        <w:rPr>
          <w:b/>
          <w:color w:val="000000" w:themeColor="text1"/>
          <w:sz w:val="24"/>
          <w:szCs w:val="24"/>
        </w:rPr>
        <w:t>.201</w:t>
      </w:r>
      <w:r w:rsidR="00AC23DF" w:rsidRPr="00AC23DF">
        <w:rPr>
          <w:b/>
          <w:color w:val="000000" w:themeColor="text1"/>
          <w:sz w:val="24"/>
          <w:szCs w:val="24"/>
        </w:rPr>
        <w:t>5</w:t>
      </w:r>
      <w:r w:rsidRPr="007567CB">
        <w:rPr>
          <w:b/>
          <w:color w:val="000000" w:themeColor="text1"/>
          <w:sz w:val="24"/>
          <w:szCs w:val="24"/>
        </w:rPr>
        <w:t xml:space="preserve">           </w:t>
      </w:r>
      <w:r w:rsidR="00263A40">
        <w:rPr>
          <w:b/>
          <w:color w:val="000000" w:themeColor="text1"/>
          <w:sz w:val="24"/>
          <w:szCs w:val="24"/>
        </w:rPr>
        <w:tab/>
      </w:r>
      <w:r w:rsidRPr="007567CB">
        <w:rPr>
          <w:b/>
          <w:color w:val="000000" w:themeColor="text1"/>
          <w:sz w:val="24"/>
          <w:szCs w:val="24"/>
        </w:rPr>
        <w:t>Dátum uzavretia výzvy:</w:t>
      </w:r>
      <w:r w:rsidR="00263A40">
        <w:rPr>
          <w:b/>
          <w:color w:val="000000" w:themeColor="text1"/>
          <w:sz w:val="24"/>
          <w:szCs w:val="24"/>
        </w:rPr>
        <w:t xml:space="preserve"> </w:t>
      </w:r>
      <w:r w:rsidR="002876DA">
        <w:rPr>
          <w:b/>
          <w:color w:val="000000" w:themeColor="text1"/>
          <w:sz w:val="24"/>
          <w:szCs w:val="24"/>
        </w:rPr>
        <w:t>22</w:t>
      </w:r>
      <w:r w:rsidR="00AC23DF">
        <w:rPr>
          <w:b/>
          <w:color w:val="000000" w:themeColor="text1"/>
          <w:sz w:val="24"/>
          <w:szCs w:val="24"/>
        </w:rPr>
        <w:t>.01.201</w:t>
      </w:r>
      <w:r w:rsidR="00F73C15">
        <w:rPr>
          <w:b/>
          <w:color w:val="000000" w:themeColor="text1"/>
          <w:sz w:val="24"/>
          <w:szCs w:val="24"/>
        </w:rPr>
        <w:t>6</w:t>
      </w:r>
      <w:bookmarkStart w:id="0" w:name="_GoBack"/>
      <w:bookmarkEnd w:id="0"/>
    </w:p>
    <w:p w:rsidR="00263A40" w:rsidRPr="007567CB" w:rsidRDefault="00263A40" w:rsidP="00263A40">
      <w:pPr>
        <w:pStyle w:val="Zarkazkladnhotextu"/>
        <w:rPr>
          <w:b/>
          <w:bCs/>
        </w:rPr>
      </w:pPr>
    </w:p>
    <w:p w:rsidR="00B2780C" w:rsidRPr="00263A40" w:rsidRDefault="00B2780C" w:rsidP="00B2780C">
      <w:pPr>
        <w:numPr>
          <w:ilvl w:val="0"/>
          <w:numId w:val="2"/>
        </w:numPr>
        <w:tabs>
          <w:tab w:val="left" w:pos="289"/>
        </w:tabs>
        <w:spacing w:line="280" w:lineRule="exact"/>
        <w:ind w:hanging="720"/>
        <w:jc w:val="both"/>
        <w:rPr>
          <w:b/>
          <w:bCs/>
        </w:rPr>
      </w:pPr>
      <w:r w:rsidRPr="00263A40">
        <w:rPr>
          <w:b/>
          <w:bCs/>
        </w:rPr>
        <w:t>Formálne náležitosti výzvy</w:t>
      </w:r>
    </w:p>
    <w:p w:rsidR="00B2780C" w:rsidRPr="007567CB" w:rsidRDefault="00B2780C" w:rsidP="00B2780C">
      <w:pPr>
        <w:tabs>
          <w:tab w:val="left" w:pos="289"/>
        </w:tabs>
        <w:spacing w:line="280" w:lineRule="exact"/>
        <w:ind w:left="720"/>
        <w:jc w:val="both"/>
        <w:rPr>
          <w:b/>
          <w:bCs/>
        </w:rPr>
      </w:pPr>
    </w:p>
    <w:p w:rsidR="00C33A99" w:rsidRDefault="00B2780C" w:rsidP="00C33A99">
      <w:pPr>
        <w:numPr>
          <w:ilvl w:val="1"/>
          <w:numId w:val="2"/>
        </w:numPr>
        <w:tabs>
          <w:tab w:val="left" w:pos="851"/>
        </w:tabs>
        <w:spacing w:line="280" w:lineRule="exact"/>
        <w:ind w:left="851" w:hanging="567"/>
        <w:jc w:val="both"/>
        <w:rPr>
          <w:b/>
        </w:rPr>
      </w:pPr>
      <w:r w:rsidRPr="00C33A99">
        <w:rPr>
          <w:b/>
        </w:rPr>
        <w:t>Kontaktné údaje poskytovateľa a spôsob komunikácie s poskytovateľom:</w:t>
      </w:r>
    </w:p>
    <w:p w:rsidR="00B2780C" w:rsidRPr="00C33A99" w:rsidRDefault="00C33A99" w:rsidP="00C33A99">
      <w:pPr>
        <w:tabs>
          <w:tab w:val="left" w:pos="851"/>
        </w:tabs>
        <w:spacing w:line="280" w:lineRule="exact"/>
        <w:ind w:left="851" w:hanging="567"/>
        <w:jc w:val="both"/>
        <w:rPr>
          <w:b/>
        </w:rPr>
      </w:pPr>
      <w:r>
        <w:tab/>
      </w:r>
      <w:r w:rsidR="00B2780C" w:rsidRPr="007567CB">
        <w:t xml:space="preserve">Žiadosti o poskytnutie informácií adresujte na kanceláriu generálneho riaditeľa PPA, </w:t>
      </w:r>
      <w:proofErr w:type="spellStart"/>
      <w:r w:rsidR="00B2780C" w:rsidRPr="007567CB">
        <w:t>Dobrovičova</w:t>
      </w:r>
      <w:proofErr w:type="spellEnd"/>
      <w:r w:rsidR="00B2780C" w:rsidRPr="007567CB">
        <w:t xml:space="preserve"> 12, 815 26 Bratislava. Prípadné informácie je možné získať na tel. č. 02/52733800, e–mail: </w:t>
      </w:r>
      <w:hyperlink r:id="rId11" w:history="1">
        <w:r w:rsidR="00B2780C" w:rsidRPr="007567CB">
          <w:rPr>
            <w:rStyle w:val="Hypertextovprepojenie"/>
          </w:rPr>
          <w:t>info@apa.sk</w:t>
        </w:r>
      </w:hyperlink>
      <w:r w:rsidR="00B2780C" w:rsidRPr="007567CB">
        <w:t xml:space="preserve"> alebo  na adrese kancelárie generálneho riaditeľa PPA, </w:t>
      </w:r>
      <w:proofErr w:type="spellStart"/>
      <w:r w:rsidR="00B2780C" w:rsidRPr="007567CB">
        <w:t>Dobrovičova</w:t>
      </w:r>
      <w:proofErr w:type="spellEnd"/>
      <w:r w:rsidR="00B2780C" w:rsidRPr="007567CB">
        <w:t xml:space="preserve"> 12, 815 26 Bratislava.  PPA bude reagovať na otázky, na ktoré je možné odpovedať informáciami zverejnenými na webovom sídle PPA len odkazmi na príslušné zverejnené dokumenty. V procese vyhodnocovania žiadostí o nenávratný finančný príspevok z PRV (ďalej len „</w:t>
      </w:r>
      <w:proofErr w:type="spellStart"/>
      <w:r w:rsidR="00B2780C" w:rsidRPr="007567CB">
        <w:t>ŽoNFP</w:t>
      </w:r>
      <w:proofErr w:type="spellEnd"/>
      <w:r w:rsidR="00B2780C" w:rsidRPr="007567CB">
        <w:t xml:space="preserve">“) PPA </w:t>
      </w:r>
      <w:r w:rsidR="00B2780C" w:rsidRPr="00C33A99">
        <w:rPr>
          <w:b/>
          <w:bCs/>
        </w:rPr>
        <w:t>neposkytne informácie</w:t>
      </w:r>
      <w:r w:rsidR="00B2780C" w:rsidRPr="007567CB">
        <w:t xml:space="preserve"> o stave vyhodnocovania žiadostí. O konečnom výsledku vyhodnotenia </w:t>
      </w:r>
      <w:proofErr w:type="spellStart"/>
      <w:r w:rsidR="00B2780C" w:rsidRPr="007567CB">
        <w:t>ŽoNFP</w:t>
      </w:r>
      <w:proofErr w:type="spellEnd"/>
      <w:r w:rsidR="00B2780C" w:rsidRPr="007567CB">
        <w:t xml:space="preserve"> bude žiadateľ písomne informovaný. Odpovede poskytnuté žiadateľovi telefonicky ústnou formou, pokiaľ neboli spracované do písomnej podoby, nemožno považovať za záväzné a žiadateľ sa na ne nemôže odvolať. PPA neposkytuje individuálne poradenstvo k vyhlásenej výzve.</w:t>
      </w:r>
    </w:p>
    <w:p w:rsidR="00B2780C" w:rsidRDefault="00B2780C" w:rsidP="00B2780C">
      <w:pPr>
        <w:tabs>
          <w:tab w:val="left" w:pos="540"/>
        </w:tabs>
        <w:spacing w:line="280" w:lineRule="exact"/>
        <w:ind w:left="771" w:hanging="21"/>
        <w:jc w:val="both"/>
      </w:pPr>
    </w:p>
    <w:p w:rsidR="00C33A99" w:rsidRPr="007567CB" w:rsidRDefault="00C33A99" w:rsidP="00B2780C">
      <w:pPr>
        <w:tabs>
          <w:tab w:val="left" w:pos="540"/>
        </w:tabs>
        <w:spacing w:line="280" w:lineRule="exact"/>
        <w:ind w:left="771" w:hanging="21"/>
        <w:jc w:val="both"/>
      </w:pPr>
    </w:p>
    <w:p w:rsidR="00B2780C" w:rsidRPr="007567CB" w:rsidRDefault="00B2780C" w:rsidP="00C33A99">
      <w:pPr>
        <w:numPr>
          <w:ilvl w:val="1"/>
          <w:numId w:val="2"/>
        </w:numPr>
        <w:tabs>
          <w:tab w:val="left" w:pos="851"/>
        </w:tabs>
        <w:spacing w:line="280" w:lineRule="exact"/>
        <w:ind w:left="851" w:hanging="567"/>
        <w:jc w:val="both"/>
        <w:rPr>
          <w:b/>
        </w:rPr>
      </w:pPr>
      <w:r w:rsidRPr="007567CB">
        <w:rPr>
          <w:b/>
        </w:rPr>
        <w:t>Časový harmonogram konania o </w:t>
      </w:r>
      <w:proofErr w:type="spellStart"/>
      <w:r w:rsidRPr="007567CB">
        <w:rPr>
          <w:b/>
        </w:rPr>
        <w:t>ŽoNFP</w:t>
      </w:r>
      <w:proofErr w:type="spellEnd"/>
    </w:p>
    <w:p w:rsidR="00B2780C" w:rsidRPr="007567CB" w:rsidRDefault="00B2780C" w:rsidP="00B2780C">
      <w:pPr>
        <w:tabs>
          <w:tab w:val="left" w:pos="289"/>
        </w:tabs>
        <w:spacing w:line="280" w:lineRule="exact"/>
        <w:ind w:left="567"/>
        <w:jc w:val="both"/>
        <w:rPr>
          <w:b/>
        </w:rPr>
      </w:pPr>
    </w:p>
    <w:tbl>
      <w:tblPr>
        <w:tblW w:w="9332" w:type="dxa"/>
        <w:tblInd w:w="-10" w:type="dxa"/>
        <w:tblLayout w:type="fixed"/>
        <w:tblLook w:val="0000" w:firstRow="0" w:lastRow="0" w:firstColumn="0" w:lastColumn="0" w:noHBand="0" w:noVBand="0"/>
      </w:tblPr>
      <w:tblGrid>
        <w:gridCol w:w="1848"/>
        <w:gridCol w:w="2381"/>
        <w:gridCol w:w="2552"/>
        <w:gridCol w:w="2551"/>
      </w:tblGrid>
      <w:tr w:rsidR="00B2780C" w:rsidRPr="007567CB" w:rsidTr="00C33A99">
        <w:tc>
          <w:tcPr>
            <w:tcW w:w="1848" w:type="dxa"/>
            <w:tcBorders>
              <w:top w:val="single" w:sz="4" w:space="0" w:color="000000"/>
              <w:left w:val="single" w:sz="4" w:space="0" w:color="000000"/>
              <w:bottom w:val="single" w:sz="4" w:space="0" w:color="000000"/>
            </w:tcBorders>
            <w:shd w:val="clear" w:color="auto" w:fill="auto"/>
          </w:tcPr>
          <w:p w:rsidR="00B2780C" w:rsidRPr="007567CB" w:rsidRDefault="00B2780C" w:rsidP="00C33A99">
            <w:pPr>
              <w:tabs>
                <w:tab w:val="left" w:pos="426"/>
              </w:tabs>
              <w:jc w:val="both"/>
              <w:rPr>
                <w:bCs/>
                <w:shd w:val="clear" w:color="auto" w:fill="00FFFF"/>
              </w:rPr>
            </w:pPr>
            <w:r w:rsidRPr="007567CB">
              <w:rPr>
                <w:b/>
                <w:bCs/>
              </w:rPr>
              <w:t xml:space="preserve">Podávanie a prijímanie </w:t>
            </w:r>
            <w:proofErr w:type="spellStart"/>
            <w:r w:rsidRPr="007567CB">
              <w:rPr>
                <w:b/>
                <w:bCs/>
              </w:rPr>
              <w:t>ŽoNFP</w:t>
            </w:r>
            <w:proofErr w:type="spellEnd"/>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C33A99" w:rsidRDefault="00C33A99" w:rsidP="002876DA">
            <w:pPr>
              <w:tabs>
                <w:tab w:val="left" w:pos="360"/>
              </w:tabs>
              <w:autoSpaceDE w:val="0"/>
            </w:pPr>
            <w:r w:rsidRPr="00FD1AF3">
              <w:t xml:space="preserve">od </w:t>
            </w:r>
            <w:r w:rsidR="002876DA">
              <w:t>11</w:t>
            </w:r>
            <w:r w:rsidRPr="00AC23DF">
              <w:t>.</w:t>
            </w:r>
            <w:r w:rsidR="00AC23DF" w:rsidRPr="00AC23DF">
              <w:t>01</w:t>
            </w:r>
            <w:r w:rsidRPr="00AC23DF">
              <w:t>.201</w:t>
            </w:r>
            <w:r w:rsidR="00AC23DF" w:rsidRPr="00AC23DF">
              <w:t>6</w:t>
            </w:r>
            <w:r w:rsidRPr="00AC23DF">
              <w:t xml:space="preserve"> do </w:t>
            </w:r>
            <w:r w:rsidR="002876DA">
              <w:t>22</w:t>
            </w:r>
            <w:r w:rsidRPr="00AC23DF">
              <w:t>.</w:t>
            </w:r>
            <w:r w:rsidR="00AC23DF" w:rsidRPr="00AC23DF">
              <w:t>01</w:t>
            </w:r>
            <w:r w:rsidRPr="00AC23DF">
              <w:t>.201</w:t>
            </w:r>
            <w:r w:rsidR="00AC23DF" w:rsidRPr="00AC23DF">
              <w:t>6</w:t>
            </w:r>
          </w:p>
        </w:tc>
      </w:tr>
      <w:tr w:rsidR="00B2780C" w:rsidRPr="007567CB" w:rsidTr="00C33A99">
        <w:tc>
          <w:tcPr>
            <w:tcW w:w="1848" w:type="dxa"/>
            <w:tcBorders>
              <w:top w:val="single" w:sz="4" w:space="0" w:color="000000"/>
              <w:left w:val="single" w:sz="4" w:space="0" w:color="000000"/>
              <w:bottom w:val="single" w:sz="4" w:space="0" w:color="000000"/>
            </w:tcBorders>
            <w:shd w:val="clear" w:color="auto" w:fill="auto"/>
            <w:vAlign w:val="center"/>
          </w:tcPr>
          <w:p w:rsidR="00B2780C" w:rsidRPr="007567CB" w:rsidRDefault="00B2780C" w:rsidP="00C33A99">
            <w:pPr>
              <w:tabs>
                <w:tab w:val="left" w:pos="426"/>
              </w:tabs>
              <w:rPr>
                <w:bCs/>
              </w:rPr>
            </w:pPr>
            <w:r w:rsidRPr="007567CB">
              <w:rPr>
                <w:b/>
                <w:bCs/>
              </w:rPr>
              <w:t xml:space="preserve">Hodnotenie </w:t>
            </w:r>
            <w:proofErr w:type="spellStart"/>
            <w:r w:rsidRPr="007567CB">
              <w:rPr>
                <w:b/>
                <w:bCs/>
              </w:rPr>
              <w:t>ŽoNFP</w:t>
            </w:r>
            <w:proofErr w:type="spellEnd"/>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Pr>
          <w:p w:rsidR="00B2780C" w:rsidRPr="007567CB" w:rsidRDefault="00B2780C" w:rsidP="00C33A99">
            <w:pPr>
              <w:tabs>
                <w:tab w:val="left" w:pos="426"/>
              </w:tabs>
              <w:jc w:val="both"/>
            </w:pPr>
            <w:r w:rsidRPr="007567CB">
              <w:rPr>
                <w:bCs/>
              </w:rPr>
              <w:t xml:space="preserve">Začína od </w:t>
            </w:r>
            <w:r w:rsidRPr="007567CB">
              <w:rPr>
                <w:color w:val="000000"/>
              </w:rPr>
              <w:t xml:space="preserve">posledného možného dátumu na doručenie </w:t>
            </w:r>
            <w:proofErr w:type="spellStart"/>
            <w:r w:rsidRPr="007567CB">
              <w:rPr>
                <w:color w:val="000000"/>
              </w:rPr>
              <w:t>ŽoNFP</w:t>
            </w:r>
            <w:proofErr w:type="spellEnd"/>
            <w:r w:rsidRPr="007567CB">
              <w:rPr>
                <w:color w:val="000000"/>
              </w:rPr>
              <w:t xml:space="preserve"> poštovou alebo obdobnou prepravou</w:t>
            </w:r>
            <w:r w:rsidRPr="007567CB">
              <w:rPr>
                <w:bCs/>
              </w:rPr>
              <w:t xml:space="preserve"> a končí dňom vydania Rozhodnutia o schválení/neschválení </w:t>
            </w:r>
            <w:proofErr w:type="spellStart"/>
            <w:r w:rsidRPr="007567CB">
              <w:rPr>
                <w:bCs/>
              </w:rPr>
              <w:t>ŽoNFP</w:t>
            </w:r>
            <w:proofErr w:type="spellEnd"/>
          </w:p>
        </w:tc>
      </w:tr>
      <w:tr w:rsidR="00B2780C" w:rsidRPr="007567CB" w:rsidTr="00C33A99">
        <w:tc>
          <w:tcPr>
            <w:tcW w:w="1848" w:type="dxa"/>
            <w:tcBorders>
              <w:top w:val="single" w:sz="4" w:space="0" w:color="000000"/>
              <w:left w:val="single" w:sz="4" w:space="0" w:color="000000"/>
              <w:bottom w:val="single" w:sz="4" w:space="0" w:color="000000"/>
            </w:tcBorders>
            <w:shd w:val="clear" w:color="auto" w:fill="auto"/>
          </w:tcPr>
          <w:p w:rsidR="00B2780C" w:rsidRPr="007567CB" w:rsidRDefault="00B2780C" w:rsidP="00C33A99">
            <w:pPr>
              <w:tabs>
                <w:tab w:val="left" w:pos="426"/>
              </w:tabs>
              <w:jc w:val="both"/>
              <w:rPr>
                <w:b/>
                <w:bCs/>
              </w:rPr>
            </w:pPr>
            <w:r w:rsidRPr="007567CB">
              <w:rPr>
                <w:b/>
                <w:bCs/>
              </w:rPr>
              <w:t xml:space="preserve">Počet podaných </w:t>
            </w:r>
            <w:proofErr w:type="spellStart"/>
            <w:r w:rsidRPr="007567CB">
              <w:rPr>
                <w:b/>
                <w:bCs/>
              </w:rPr>
              <w:t>ŽoNFP</w:t>
            </w:r>
            <w:proofErr w:type="spellEnd"/>
            <w:r w:rsidRPr="007567CB">
              <w:rPr>
                <w:b/>
                <w:bCs/>
              </w:rPr>
              <w:t xml:space="preserve"> v predmetnej výzve</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tabs>
                <w:tab w:val="left" w:pos="426"/>
              </w:tabs>
              <w:rPr>
                <w:bCs/>
              </w:rPr>
            </w:pPr>
            <w:r w:rsidRPr="007567CB">
              <w:rPr>
                <w:bCs/>
              </w:rPr>
              <w:t xml:space="preserve">Menej ako 100 podaných </w:t>
            </w:r>
            <w:proofErr w:type="spellStart"/>
            <w:r w:rsidRPr="007567CB">
              <w:rPr>
                <w:bCs/>
              </w:rPr>
              <w:t>ŽoNFP</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tabs>
                <w:tab w:val="left" w:pos="426"/>
              </w:tabs>
              <w:rPr>
                <w:bCs/>
              </w:rPr>
            </w:pPr>
            <w:r w:rsidRPr="007567CB">
              <w:rPr>
                <w:bCs/>
              </w:rPr>
              <w:t xml:space="preserve">Viac ako 100 a menej ako 300  podaných </w:t>
            </w:r>
            <w:proofErr w:type="spellStart"/>
            <w:r w:rsidRPr="007567CB">
              <w:rPr>
                <w:bCs/>
              </w:rPr>
              <w:t>ŽoNFP</w:t>
            </w:r>
            <w:proofErr w:type="spellEnd"/>
            <w:r w:rsidRPr="007567CB">
              <w:rPr>
                <w:bCs/>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tabs>
                <w:tab w:val="left" w:pos="426"/>
              </w:tabs>
              <w:rPr>
                <w:bCs/>
              </w:rPr>
            </w:pPr>
            <w:r w:rsidRPr="007567CB">
              <w:rPr>
                <w:bCs/>
              </w:rPr>
              <w:t xml:space="preserve">Viac ako 300 podaných  </w:t>
            </w:r>
            <w:proofErr w:type="spellStart"/>
            <w:r w:rsidRPr="007567CB">
              <w:rPr>
                <w:bCs/>
              </w:rPr>
              <w:t>ŽoNFP</w:t>
            </w:r>
            <w:proofErr w:type="spellEnd"/>
            <w:r w:rsidRPr="007567CB">
              <w:rPr>
                <w:bCs/>
              </w:rPr>
              <w:t xml:space="preserve"> </w:t>
            </w:r>
          </w:p>
        </w:tc>
      </w:tr>
      <w:tr w:rsidR="00B2780C" w:rsidRPr="007567CB" w:rsidTr="00C33A99">
        <w:tc>
          <w:tcPr>
            <w:tcW w:w="1848" w:type="dxa"/>
            <w:tcBorders>
              <w:top w:val="single" w:sz="4" w:space="0" w:color="000000"/>
              <w:left w:val="single" w:sz="4" w:space="0" w:color="000000"/>
              <w:bottom w:val="single" w:sz="4" w:space="0" w:color="000000"/>
            </w:tcBorders>
            <w:shd w:val="clear" w:color="auto" w:fill="auto"/>
            <w:vAlign w:val="center"/>
          </w:tcPr>
          <w:p w:rsidR="00B2780C" w:rsidRPr="007567CB" w:rsidRDefault="00B2780C" w:rsidP="00C33A99">
            <w:pPr>
              <w:tabs>
                <w:tab w:val="left" w:pos="426"/>
              </w:tabs>
              <w:jc w:val="both"/>
              <w:rPr>
                <w:b/>
                <w:bCs/>
              </w:rPr>
            </w:pPr>
            <w:r w:rsidRPr="007567CB">
              <w:rPr>
                <w:b/>
                <w:bCs/>
              </w:rPr>
              <w:t xml:space="preserve">Vypracovanie potvrdenia o registrácii </w:t>
            </w:r>
            <w:proofErr w:type="spellStart"/>
            <w:r w:rsidRPr="007567CB">
              <w:rPr>
                <w:b/>
                <w:bCs/>
              </w:rPr>
              <w:t>ŽoNFP</w:t>
            </w:r>
            <w:proofErr w:type="spellEnd"/>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tabs>
                <w:tab w:val="left" w:pos="426"/>
              </w:tabs>
              <w:jc w:val="both"/>
              <w:rPr>
                <w:bCs/>
              </w:rPr>
            </w:pPr>
            <w:r w:rsidRPr="007567CB">
              <w:rPr>
                <w:bCs/>
              </w:rPr>
              <w:t xml:space="preserve">Najneskôr do 40 pracovných dní </w:t>
            </w:r>
            <w:r w:rsidRPr="007567CB">
              <w:rPr>
                <w:color w:val="000000"/>
              </w:rPr>
              <w:t xml:space="preserve">od posledného možného dátumu na doručenie </w:t>
            </w:r>
            <w:proofErr w:type="spellStart"/>
            <w:r w:rsidRPr="007567CB">
              <w:rPr>
                <w:color w:val="000000"/>
              </w:rPr>
              <w:t>ŽoNFP</w:t>
            </w:r>
            <w:proofErr w:type="spellEnd"/>
            <w:r w:rsidRPr="007567CB">
              <w:rPr>
                <w:color w:val="000000"/>
              </w:rPr>
              <w:t xml:space="preserve"> poštovou alebo obdobnou prepravou</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tabs>
                <w:tab w:val="left" w:pos="426"/>
              </w:tabs>
              <w:jc w:val="both"/>
              <w:rPr>
                <w:bCs/>
              </w:rPr>
            </w:pPr>
            <w:r w:rsidRPr="007567CB">
              <w:rPr>
                <w:bCs/>
              </w:rPr>
              <w:t xml:space="preserve">Najneskôr do 60 pracovných dní </w:t>
            </w:r>
            <w:r w:rsidRPr="007567CB">
              <w:rPr>
                <w:color w:val="000000"/>
              </w:rPr>
              <w:t xml:space="preserve">od posledného možného dátumu na doručenie </w:t>
            </w:r>
            <w:proofErr w:type="spellStart"/>
            <w:r w:rsidRPr="007567CB">
              <w:rPr>
                <w:color w:val="000000"/>
              </w:rPr>
              <w:t>ŽoNFP</w:t>
            </w:r>
            <w:proofErr w:type="spellEnd"/>
            <w:r w:rsidRPr="007567CB">
              <w:rPr>
                <w:color w:val="000000"/>
              </w:rPr>
              <w:t xml:space="preserve"> poštovou alebo obdobnou prepravou</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tabs>
                <w:tab w:val="left" w:pos="426"/>
              </w:tabs>
              <w:jc w:val="both"/>
              <w:rPr>
                <w:bCs/>
              </w:rPr>
            </w:pPr>
            <w:r w:rsidRPr="007567CB">
              <w:rPr>
                <w:bCs/>
              </w:rPr>
              <w:t xml:space="preserve">Najneskôr do 90 pracovných dní </w:t>
            </w:r>
            <w:r w:rsidRPr="007567CB">
              <w:rPr>
                <w:color w:val="000000"/>
              </w:rPr>
              <w:t xml:space="preserve">od posledného možného dátumu na doručenie </w:t>
            </w:r>
            <w:proofErr w:type="spellStart"/>
            <w:r w:rsidRPr="007567CB">
              <w:rPr>
                <w:color w:val="000000"/>
              </w:rPr>
              <w:t>ŽoNFP</w:t>
            </w:r>
            <w:proofErr w:type="spellEnd"/>
            <w:r w:rsidRPr="007567CB">
              <w:rPr>
                <w:color w:val="000000"/>
              </w:rPr>
              <w:t xml:space="preserve"> poštovou alebo obdobnou prepravou</w:t>
            </w:r>
          </w:p>
        </w:tc>
      </w:tr>
      <w:tr w:rsidR="00B2780C" w:rsidRPr="007567CB" w:rsidTr="00C33A99">
        <w:tc>
          <w:tcPr>
            <w:tcW w:w="1848" w:type="dxa"/>
            <w:tcBorders>
              <w:top w:val="single" w:sz="4" w:space="0" w:color="000000"/>
              <w:left w:val="single" w:sz="4" w:space="0" w:color="000000"/>
              <w:bottom w:val="single" w:sz="4" w:space="0" w:color="000000"/>
            </w:tcBorders>
            <w:shd w:val="clear" w:color="auto" w:fill="auto"/>
            <w:vAlign w:val="center"/>
          </w:tcPr>
          <w:p w:rsidR="00B2780C" w:rsidRPr="007567CB" w:rsidRDefault="00B2780C" w:rsidP="00C33A99">
            <w:pPr>
              <w:tabs>
                <w:tab w:val="left" w:pos="426"/>
              </w:tabs>
              <w:rPr>
                <w:b/>
                <w:bCs/>
              </w:rPr>
            </w:pPr>
            <w:r w:rsidRPr="007567CB">
              <w:rPr>
                <w:b/>
                <w:bCs/>
              </w:rPr>
              <w:t xml:space="preserve">Výber </w:t>
            </w:r>
            <w:proofErr w:type="spellStart"/>
            <w:r w:rsidRPr="007567CB">
              <w:rPr>
                <w:b/>
                <w:bCs/>
              </w:rPr>
              <w:t>ŽoNFP</w:t>
            </w:r>
            <w:proofErr w:type="spellEnd"/>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tabs>
                <w:tab w:val="left" w:pos="426"/>
              </w:tabs>
              <w:jc w:val="both"/>
              <w:rPr>
                <w:bCs/>
              </w:rPr>
            </w:pPr>
            <w:r w:rsidRPr="007567CB">
              <w:rPr>
                <w:bCs/>
              </w:rPr>
              <w:t>Najneskôr do</w:t>
            </w:r>
            <w:r w:rsidRPr="007567CB">
              <w:rPr>
                <w:color w:val="000000"/>
              </w:rPr>
              <w:t xml:space="preserve"> 30 pracovných dní od vypracovania  </w:t>
            </w:r>
            <w:r w:rsidRPr="007567CB">
              <w:rPr>
                <w:bCs/>
              </w:rPr>
              <w:t xml:space="preserve">potvrdenia o registrácii </w:t>
            </w:r>
            <w:proofErr w:type="spellStart"/>
            <w:r w:rsidRPr="007567CB">
              <w:rPr>
                <w:bCs/>
              </w:rPr>
              <w:t>ŽoNFP</w:t>
            </w:r>
            <w:proofErr w:type="spellEnd"/>
            <w:r w:rsidRPr="007567CB">
              <w:rPr>
                <w:b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jc w:val="both"/>
            </w:pPr>
            <w:r w:rsidRPr="007567CB">
              <w:rPr>
                <w:bCs/>
              </w:rPr>
              <w:t xml:space="preserve">Najneskôr do </w:t>
            </w:r>
            <w:r w:rsidRPr="007567CB">
              <w:rPr>
                <w:color w:val="000000"/>
              </w:rPr>
              <w:t xml:space="preserve"> 40 pracovných dní od vypracovania  </w:t>
            </w:r>
            <w:r w:rsidRPr="007567CB">
              <w:rPr>
                <w:bCs/>
              </w:rPr>
              <w:t xml:space="preserve">potvrdenia o registrácii </w:t>
            </w:r>
            <w:proofErr w:type="spellStart"/>
            <w:r w:rsidRPr="007567CB">
              <w:rPr>
                <w:bCs/>
              </w:rPr>
              <w:t>ŽoNFP</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jc w:val="both"/>
            </w:pPr>
            <w:r w:rsidRPr="007567CB">
              <w:rPr>
                <w:bCs/>
              </w:rPr>
              <w:t>Najneskôr do</w:t>
            </w:r>
            <w:r w:rsidRPr="007567CB">
              <w:rPr>
                <w:color w:val="000000"/>
              </w:rPr>
              <w:t xml:space="preserve"> 60 pracovných dní od vypracovania  </w:t>
            </w:r>
            <w:r w:rsidRPr="007567CB">
              <w:rPr>
                <w:bCs/>
              </w:rPr>
              <w:t xml:space="preserve">potvrdenia o registrácii </w:t>
            </w:r>
            <w:proofErr w:type="spellStart"/>
            <w:r w:rsidRPr="007567CB">
              <w:rPr>
                <w:bCs/>
              </w:rPr>
              <w:t>ŽoNFP</w:t>
            </w:r>
            <w:proofErr w:type="spellEnd"/>
          </w:p>
        </w:tc>
      </w:tr>
      <w:tr w:rsidR="00B2780C" w:rsidRPr="007567CB" w:rsidTr="00C33A99">
        <w:tc>
          <w:tcPr>
            <w:tcW w:w="1848" w:type="dxa"/>
            <w:tcBorders>
              <w:top w:val="single" w:sz="4" w:space="0" w:color="000000"/>
              <w:left w:val="single" w:sz="4" w:space="0" w:color="000000"/>
              <w:bottom w:val="single" w:sz="4" w:space="0" w:color="000000"/>
            </w:tcBorders>
            <w:shd w:val="clear" w:color="auto" w:fill="auto"/>
            <w:vAlign w:val="center"/>
          </w:tcPr>
          <w:p w:rsidR="00B2780C" w:rsidRPr="007567CB" w:rsidRDefault="00B2780C" w:rsidP="00C33A99">
            <w:pPr>
              <w:tabs>
                <w:tab w:val="left" w:pos="426"/>
              </w:tabs>
              <w:jc w:val="both"/>
              <w:rPr>
                <w:b/>
                <w:bCs/>
              </w:rPr>
            </w:pPr>
            <w:r w:rsidRPr="007567CB">
              <w:rPr>
                <w:b/>
                <w:bCs/>
              </w:rPr>
              <w:t xml:space="preserve">Vydanie rozhodnutia o schválení/neschválení </w:t>
            </w:r>
            <w:proofErr w:type="spellStart"/>
            <w:r w:rsidRPr="007567CB">
              <w:rPr>
                <w:b/>
                <w:bCs/>
              </w:rPr>
              <w:t>ŽoNFP</w:t>
            </w:r>
            <w:proofErr w:type="spellEnd"/>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tabs>
                <w:tab w:val="left" w:pos="426"/>
              </w:tabs>
              <w:jc w:val="both"/>
              <w:rPr>
                <w:bCs/>
              </w:rPr>
            </w:pPr>
            <w:r w:rsidRPr="007567CB">
              <w:rPr>
                <w:bCs/>
              </w:rPr>
              <w:t>Najneskôr do</w:t>
            </w:r>
            <w:r w:rsidRPr="007567CB">
              <w:rPr>
                <w:color w:val="000000"/>
              </w:rPr>
              <w:t xml:space="preserve"> 30 pracovných dní od výberu </w:t>
            </w:r>
            <w:r w:rsidRPr="007567CB">
              <w:rPr>
                <w:bCs/>
              </w:rPr>
              <w:t xml:space="preserve"> </w:t>
            </w:r>
            <w:proofErr w:type="spellStart"/>
            <w:r w:rsidRPr="007567CB">
              <w:rPr>
                <w:bCs/>
              </w:rPr>
              <w:t>ŽoNFP</w:t>
            </w:r>
            <w:proofErr w:type="spellEnd"/>
            <w:r w:rsidRPr="007567CB">
              <w:rPr>
                <w:b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jc w:val="both"/>
            </w:pPr>
            <w:r w:rsidRPr="007567CB">
              <w:rPr>
                <w:bCs/>
              </w:rPr>
              <w:t xml:space="preserve">Najneskôr do </w:t>
            </w:r>
            <w:r w:rsidRPr="007567CB">
              <w:rPr>
                <w:color w:val="000000"/>
              </w:rPr>
              <w:t xml:space="preserve"> 40 pracovných dní od výberu </w:t>
            </w:r>
            <w:r w:rsidRPr="007567CB">
              <w:rPr>
                <w:bCs/>
              </w:rPr>
              <w:t xml:space="preserve"> </w:t>
            </w:r>
            <w:proofErr w:type="spellStart"/>
            <w:r w:rsidRPr="007567CB">
              <w:rPr>
                <w:bCs/>
              </w:rPr>
              <w:t>ŽoNFP</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80C" w:rsidRPr="007567CB" w:rsidRDefault="00B2780C" w:rsidP="00C33A99">
            <w:pPr>
              <w:jc w:val="both"/>
            </w:pPr>
            <w:r w:rsidRPr="007567CB">
              <w:rPr>
                <w:bCs/>
              </w:rPr>
              <w:t xml:space="preserve">Najneskôr do </w:t>
            </w:r>
            <w:r w:rsidRPr="007567CB">
              <w:rPr>
                <w:color w:val="000000"/>
              </w:rPr>
              <w:t xml:space="preserve"> 60 pracovných dní od výberu </w:t>
            </w:r>
            <w:r w:rsidRPr="007567CB">
              <w:rPr>
                <w:bCs/>
              </w:rPr>
              <w:t xml:space="preserve"> </w:t>
            </w:r>
            <w:proofErr w:type="spellStart"/>
            <w:r w:rsidRPr="007567CB">
              <w:rPr>
                <w:bCs/>
              </w:rPr>
              <w:t>ŽoNFP</w:t>
            </w:r>
            <w:proofErr w:type="spellEnd"/>
          </w:p>
        </w:tc>
      </w:tr>
    </w:tbl>
    <w:p w:rsidR="00B2780C" w:rsidRDefault="00B2780C" w:rsidP="00B2780C">
      <w:pPr>
        <w:tabs>
          <w:tab w:val="left" w:pos="426"/>
        </w:tabs>
        <w:spacing w:line="280" w:lineRule="exact"/>
        <w:jc w:val="both"/>
        <w:rPr>
          <w:b/>
        </w:rPr>
      </w:pPr>
    </w:p>
    <w:p w:rsidR="00C33A99" w:rsidRPr="007567CB" w:rsidRDefault="00C33A99" w:rsidP="00B2780C">
      <w:pPr>
        <w:tabs>
          <w:tab w:val="left" w:pos="426"/>
        </w:tabs>
        <w:spacing w:line="280" w:lineRule="exact"/>
        <w:jc w:val="both"/>
        <w:rPr>
          <w:b/>
        </w:rPr>
      </w:pPr>
    </w:p>
    <w:p w:rsidR="00B2780C" w:rsidRPr="007567CB" w:rsidRDefault="00B2780C" w:rsidP="00C33A99">
      <w:pPr>
        <w:numPr>
          <w:ilvl w:val="1"/>
          <w:numId w:val="2"/>
        </w:numPr>
        <w:tabs>
          <w:tab w:val="left" w:pos="851"/>
        </w:tabs>
        <w:spacing w:line="280" w:lineRule="exact"/>
        <w:ind w:left="851" w:hanging="567"/>
        <w:jc w:val="both"/>
        <w:rPr>
          <w:b/>
        </w:rPr>
      </w:pPr>
      <w:r w:rsidRPr="007567CB">
        <w:rPr>
          <w:b/>
        </w:rPr>
        <w:t>Výška oprávnených výdavkov (OV) na jeden projekt:</w:t>
      </w:r>
    </w:p>
    <w:p w:rsidR="00F12C6D" w:rsidRDefault="00F12C6D" w:rsidP="00F12C6D">
      <w:pPr>
        <w:tabs>
          <w:tab w:val="right" w:pos="5245"/>
        </w:tabs>
        <w:spacing w:before="120"/>
        <w:ind w:left="851"/>
        <w:jc w:val="both"/>
      </w:pPr>
      <w:r>
        <w:t xml:space="preserve">Minimálne vo výške </w:t>
      </w:r>
      <w:r>
        <w:tab/>
      </w:r>
      <w:r w:rsidR="00A12AD5">
        <w:t>500 000</w:t>
      </w:r>
      <w:r>
        <w:t>,- Eur</w:t>
      </w:r>
    </w:p>
    <w:p w:rsidR="00C33A99" w:rsidRPr="007567CB" w:rsidRDefault="00C33A99" w:rsidP="00F12C6D">
      <w:pPr>
        <w:tabs>
          <w:tab w:val="right" w:pos="5245"/>
        </w:tabs>
        <w:ind w:left="851"/>
        <w:jc w:val="both"/>
      </w:pPr>
      <w:r>
        <w:t xml:space="preserve">Maximálne vo výške </w:t>
      </w:r>
      <w:r w:rsidR="00F12C6D">
        <w:tab/>
      </w:r>
      <w:r w:rsidR="00A12AD5">
        <w:t xml:space="preserve">37 000 </w:t>
      </w:r>
      <w:proofErr w:type="spellStart"/>
      <w:r w:rsidR="00A12AD5">
        <w:t>000</w:t>
      </w:r>
      <w:proofErr w:type="spellEnd"/>
      <w:r>
        <w:t>,- Eur</w:t>
      </w:r>
    </w:p>
    <w:p w:rsidR="00B2780C" w:rsidRPr="007567CB" w:rsidRDefault="00B2780C" w:rsidP="00B2780C">
      <w:pPr>
        <w:tabs>
          <w:tab w:val="left" w:pos="567"/>
        </w:tabs>
        <w:spacing w:line="280" w:lineRule="exact"/>
        <w:ind w:left="426"/>
        <w:rPr>
          <w:b/>
          <w:bCs/>
        </w:rPr>
      </w:pPr>
    </w:p>
    <w:p w:rsidR="00B2780C" w:rsidRDefault="00B2780C" w:rsidP="00C33A99">
      <w:pPr>
        <w:numPr>
          <w:ilvl w:val="1"/>
          <w:numId w:val="2"/>
        </w:numPr>
        <w:tabs>
          <w:tab w:val="left" w:pos="289"/>
        </w:tabs>
        <w:spacing w:line="280" w:lineRule="exact"/>
        <w:ind w:left="851" w:hanging="567"/>
        <w:jc w:val="both"/>
        <w:rPr>
          <w:b/>
        </w:rPr>
      </w:pPr>
      <w:r w:rsidRPr="007567CB">
        <w:rPr>
          <w:b/>
        </w:rPr>
        <w:t xml:space="preserve">Indikatívna výška finančných prostriedkov </w:t>
      </w:r>
      <w:r w:rsidR="00F12C6D">
        <w:rPr>
          <w:b/>
        </w:rPr>
        <w:t>určených na vyčerpanie vo výzve</w:t>
      </w:r>
    </w:p>
    <w:p w:rsidR="00F12C6D" w:rsidRPr="00C37964" w:rsidRDefault="00F12C6D" w:rsidP="00F12C6D">
      <w:pPr>
        <w:tabs>
          <w:tab w:val="left" w:pos="289"/>
          <w:tab w:val="left" w:pos="1134"/>
          <w:tab w:val="right" w:pos="8505"/>
        </w:tabs>
        <w:spacing w:before="120" w:line="280" w:lineRule="exact"/>
        <w:ind w:left="851"/>
        <w:jc w:val="both"/>
      </w:pPr>
      <w:r w:rsidRPr="00C37964">
        <w:t>-</w:t>
      </w:r>
      <w:r w:rsidRPr="00C37964">
        <w:tab/>
        <w:t>Menej rozvinuté regióny (mimo Bratislavského kraja):</w:t>
      </w:r>
      <w:r w:rsidRPr="00C37964">
        <w:tab/>
      </w:r>
      <w:r w:rsidR="00854267" w:rsidRPr="00C37964">
        <w:t>69,1</w:t>
      </w:r>
      <w:r w:rsidRPr="00C37964">
        <w:t xml:space="preserve"> mil. Eur</w:t>
      </w:r>
    </w:p>
    <w:p w:rsidR="00F12C6D" w:rsidRPr="00F12C6D" w:rsidRDefault="00F12C6D" w:rsidP="00F12C6D">
      <w:pPr>
        <w:tabs>
          <w:tab w:val="left" w:pos="289"/>
          <w:tab w:val="left" w:pos="1134"/>
          <w:tab w:val="right" w:pos="8505"/>
        </w:tabs>
        <w:spacing w:line="280" w:lineRule="exact"/>
        <w:ind w:left="851"/>
        <w:jc w:val="both"/>
      </w:pPr>
      <w:r w:rsidRPr="00C37964">
        <w:t>-</w:t>
      </w:r>
      <w:r w:rsidRPr="00C37964">
        <w:tab/>
        <w:t xml:space="preserve">Ostatné regióny (Bratislavský kraj): </w:t>
      </w:r>
      <w:r w:rsidRPr="00C37964">
        <w:tab/>
      </w:r>
      <w:r w:rsidR="00854267" w:rsidRPr="00C37964">
        <w:t xml:space="preserve">0,9 </w:t>
      </w:r>
      <w:r w:rsidRPr="00C37964">
        <w:t xml:space="preserve"> mil. Eur</w:t>
      </w:r>
    </w:p>
    <w:p w:rsidR="00B2780C" w:rsidRPr="007567CB" w:rsidRDefault="00B2780C" w:rsidP="00B2780C">
      <w:pPr>
        <w:tabs>
          <w:tab w:val="left" w:pos="567"/>
          <w:tab w:val="left" w:pos="611"/>
        </w:tabs>
        <w:spacing w:line="280" w:lineRule="exact"/>
        <w:rPr>
          <w:bCs/>
          <w:lang w:eastAsia="sk-SK"/>
        </w:rPr>
      </w:pPr>
    </w:p>
    <w:p w:rsidR="00B2780C" w:rsidRPr="007567CB" w:rsidRDefault="00B2780C" w:rsidP="00B2780C">
      <w:pPr>
        <w:autoSpaceDE w:val="0"/>
        <w:spacing w:line="280" w:lineRule="exact"/>
        <w:ind w:left="709"/>
        <w:jc w:val="both"/>
        <w:rPr>
          <w:bCs/>
          <w:lang w:eastAsia="sk-SK"/>
        </w:rPr>
      </w:pPr>
    </w:p>
    <w:p w:rsidR="00B2780C" w:rsidRPr="007567CB" w:rsidRDefault="00B2780C" w:rsidP="00F12C6D">
      <w:pPr>
        <w:numPr>
          <w:ilvl w:val="1"/>
          <w:numId w:val="2"/>
        </w:numPr>
        <w:tabs>
          <w:tab w:val="left" w:pos="289"/>
        </w:tabs>
        <w:spacing w:line="280" w:lineRule="exact"/>
        <w:ind w:left="851" w:hanging="567"/>
        <w:jc w:val="both"/>
        <w:rPr>
          <w:b/>
        </w:rPr>
      </w:pPr>
      <w:r w:rsidRPr="007567CB">
        <w:rPr>
          <w:b/>
        </w:rPr>
        <w:t xml:space="preserve">Miesto podania </w:t>
      </w:r>
      <w:proofErr w:type="spellStart"/>
      <w:r w:rsidRPr="007567CB">
        <w:rPr>
          <w:b/>
        </w:rPr>
        <w:t>ŽoNFP</w:t>
      </w:r>
      <w:proofErr w:type="spellEnd"/>
      <w:r w:rsidRPr="007567CB">
        <w:rPr>
          <w:b/>
        </w:rPr>
        <w:t>:</w:t>
      </w:r>
    </w:p>
    <w:p w:rsidR="00B2780C" w:rsidRPr="007567CB" w:rsidRDefault="00B2780C" w:rsidP="00B2780C">
      <w:pPr>
        <w:tabs>
          <w:tab w:val="left" w:pos="289"/>
        </w:tabs>
        <w:spacing w:line="280" w:lineRule="exact"/>
        <w:ind w:left="567"/>
        <w:jc w:val="both"/>
        <w:rPr>
          <w:b/>
        </w:rPr>
      </w:pPr>
    </w:p>
    <w:p w:rsidR="00B2780C" w:rsidRDefault="00B2780C" w:rsidP="005A5E02">
      <w:pPr>
        <w:autoSpaceDE w:val="0"/>
        <w:spacing w:line="280" w:lineRule="exact"/>
        <w:ind w:left="851"/>
        <w:jc w:val="both"/>
      </w:pPr>
      <w:proofErr w:type="spellStart"/>
      <w:r w:rsidRPr="007567CB">
        <w:t>ŽoNFP</w:t>
      </w:r>
      <w:proofErr w:type="spellEnd"/>
      <w:r w:rsidRPr="007567CB">
        <w:t xml:space="preserve"> sa podávajú poštou alebo osobne (príp. inou prepravnou spoločnosťou) v podateľni PPA na adrese: Pôdohospodárska platobná agentúra, </w:t>
      </w:r>
      <w:proofErr w:type="spellStart"/>
      <w:r w:rsidRPr="007567CB">
        <w:t>Dobrovičova</w:t>
      </w:r>
      <w:proofErr w:type="spellEnd"/>
      <w:r w:rsidRPr="007567CB">
        <w:t xml:space="preserve"> 12, </w:t>
      </w:r>
      <w:r w:rsidR="00210005">
        <w:br/>
      </w:r>
      <w:r w:rsidRPr="007567CB">
        <w:t>815 26 Bratislava, v čase v pondelok – štvrtok od 8.00 do 15.00 hod a v piatok od 8.00 do 12.00 hod.</w:t>
      </w:r>
    </w:p>
    <w:p w:rsidR="005A5E02" w:rsidRPr="007567CB" w:rsidRDefault="005A5E02" w:rsidP="005A5E02">
      <w:pPr>
        <w:autoSpaceDE w:val="0"/>
        <w:spacing w:line="280" w:lineRule="exact"/>
        <w:ind w:left="851"/>
        <w:jc w:val="both"/>
      </w:pPr>
    </w:p>
    <w:p w:rsidR="00B2780C" w:rsidRPr="007567CB" w:rsidRDefault="00B2780C" w:rsidP="00B2780C">
      <w:pPr>
        <w:autoSpaceDE w:val="0"/>
        <w:spacing w:line="280" w:lineRule="exact"/>
        <w:ind w:left="1320"/>
        <w:jc w:val="both"/>
      </w:pPr>
    </w:p>
    <w:p w:rsidR="00B2780C" w:rsidRPr="007567CB" w:rsidRDefault="00B2780C" w:rsidP="005A5E02">
      <w:pPr>
        <w:numPr>
          <w:ilvl w:val="1"/>
          <w:numId w:val="2"/>
        </w:numPr>
        <w:tabs>
          <w:tab w:val="left" w:pos="289"/>
        </w:tabs>
        <w:spacing w:line="280" w:lineRule="exact"/>
        <w:ind w:left="851" w:hanging="567"/>
        <w:jc w:val="both"/>
        <w:rPr>
          <w:b/>
        </w:rPr>
      </w:pPr>
      <w:r w:rsidRPr="007567CB">
        <w:rPr>
          <w:b/>
        </w:rPr>
        <w:lastRenderedPageBreak/>
        <w:t>Ďalšie formálne náležitosti:</w:t>
      </w:r>
    </w:p>
    <w:p w:rsidR="00B2780C" w:rsidRPr="007567CB" w:rsidRDefault="00B2780C" w:rsidP="00B2780C">
      <w:pPr>
        <w:tabs>
          <w:tab w:val="left" w:pos="289"/>
        </w:tabs>
        <w:spacing w:line="280" w:lineRule="exact"/>
        <w:ind w:left="567"/>
        <w:jc w:val="both"/>
        <w:rPr>
          <w:b/>
        </w:rPr>
      </w:pPr>
    </w:p>
    <w:p w:rsidR="00B2780C" w:rsidRPr="006938BF" w:rsidRDefault="005A5E02" w:rsidP="00766DDC">
      <w:pPr>
        <w:numPr>
          <w:ilvl w:val="2"/>
          <w:numId w:val="25"/>
        </w:numPr>
        <w:autoSpaceDE w:val="0"/>
        <w:spacing w:line="280" w:lineRule="exact"/>
        <w:ind w:left="1276" w:hanging="425"/>
        <w:jc w:val="both"/>
        <w:rPr>
          <w:shd w:val="clear" w:color="auto" w:fill="00FFFF"/>
        </w:rPr>
      </w:pPr>
      <w:r w:rsidRPr="005A5E02">
        <w:t xml:space="preserve">Žiadateľ môže v rámci tejto výzvy podať spolu max. </w:t>
      </w:r>
      <w:r w:rsidR="003A5F53">
        <w:t>6</w:t>
      </w:r>
      <w:r w:rsidRPr="005A5E02">
        <w:t xml:space="preserve"> </w:t>
      </w:r>
      <w:proofErr w:type="spellStart"/>
      <w:r w:rsidRPr="005A5E02">
        <w:t>ŽoNFP</w:t>
      </w:r>
      <w:proofErr w:type="spellEnd"/>
      <w:r w:rsidRPr="005A5E02">
        <w:t>.</w:t>
      </w:r>
      <w:r w:rsidR="00B2780C" w:rsidRPr="007567CB">
        <w:t xml:space="preserve"> </w:t>
      </w:r>
    </w:p>
    <w:p w:rsidR="006938BF" w:rsidRPr="005A5E02" w:rsidRDefault="006938BF" w:rsidP="00766DDC">
      <w:pPr>
        <w:numPr>
          <w:ilvl w:val="2"/>
          <w:numId w:val="25"/>
        </w:numPr>
        <w:autoSpaceDE w:val="0"/>
        <w:spacing w:line="280" w:lineRule="exact"/>
        <w:ind w:left="1276" w:hanging="425"/>
        <w:jc w:val="both"/>
        <w:rPr>
          <w:shd w:val="clear" w:color="auto" w:fill="00FFFF"/>
        </w:rPr>
      </w:pPr>
      <w:r w:rsidRPr="006938BF">
        <w:t xml:space="preserve">V prípade </w:t>
      </w:r>
      <w:r>
        <w:t xml:space="preserve">realizácie projektu </w:t>
      </w:r>
      <w:r w:rsidRPr="006938BF">
        <w:t xml:space="preserve">v menej rozvinutom regióne (mimo Bratislavského kraja) a súčasne v Bratislavskom kraji, predkladá jednu </w:t>
      </w:r>
      <w:proofErr w:type="spellStart"/>
      <w:r w:rsidRPr="006938BF">
        <w:t>ŽoNFP</w:t>
      </w:r>
      <w:proofErr w:type="spellEnd"/>
      <w:r w:rsidRPr="006938BF">
        <w:t xml:space="preserve"> spolu pre realizáciu projektu v menej rozvinutom regióne a pre realizáciu projektu v Bratislavskom kraji</w:t>
      </w:r>
      <w:r w:rsidR="00DF7694">
        <w:t>.</w:t>
      </w:r>
    </w:p>
    <w:p w:rsidR="00B2780C" w:rsidRPr="005A5E02" w:rsidRDefault="00B2780C" w:rsidP="005A5E02">
      <w:pPr>
        <w:numPr>
          <w:ilvl w:val="2"/>
          <w:numId w:val="25"/>
        </w:numPr>
        <w:autoSpaceDE w:val="0"/>
        <w:spacing w:line="280" w:lineRule="exact"/>
        <w:ind w:left="1276" w:hanging="425"/>
        <w:jc w:val="both"/>
      </w:pPr>
      <w:proofErr w:type="spellStart"/>
      <w:r w:rsidRPr="007567CB">
        <w:t>ŽoNFP</w:t>
      </w:r>
      <w:proofErr w:type="spellEnd"/>
      <w:r w:rsidRPr="007567CB">
        <w:t xml:space="preserve"> sa podávajú a prijímajú v písomnej papierovej forme počas lehoty uvedenej v tejto výzve, uvedenej v bode „1.2 Časový harmonogram konania o </w:t>
      </w:r>
      <w:proofErr w:type="spellStart"/>
      <w:r w:rsidRPr="007567CB">
        <w:t>ŽoNFP</w:t>
      </w:r>
      <w:proofErr w:type="spellEnd"/>
      <w:r w:rsidRPr="007567CB">
        <w:t>“ a to na predpísanom tlačive „Formulár žiadosti o nenávratný finančný príspevok“, ktoré tvorí prílohu č. 3.1 tejto výzvy</w:t>
      </w:r>
      <w:r w:rsidR="00DF7694">
        <w:t>.</w:t>
      </w:r>
      <w:r w:rsidRPr="007567CB">
        <w:t xml:space="preserve"> </w:t>
      </w:r>
    </w:p>
    <w:p w:rsidR="00B2780C" w:rsidRPr="007567CB" w:rsidRDefault="00B2780C" w:rsidP="005A5E02">
      <w:pPr>
        <w:numPr>
          <w:ilvl w:val="2"/>
          <w:numId w:val="25"/>
        </w:numPr>
        <w:autoSpaceDE w:val="0"/>
        <w:spacing w:line="280" w:lineRule="exact"/>
        <w:ind w:left="1276" w:hanging="425"/>
        <w:jc w:val="both"/>
      </w:pPr>
      <w:r w:rsidRPr="007567CB">
        <w:t xml:space="preserve">Pri podaní </w:t>
      </w:r>
      <w:proofErr w:type="spellStart"/>
      <w:r w:rsidRPr="007567CB">
        <w:t>ŽoNFP</w:t>
      </w:r>
      <w:proofErr w:type="spellEnd"/>
      <w:r w:rsidRPr="007567CB">
        <w:t xml:space="preserve"> poštou je rozhodujúci dátum pečiatky pošty na obálke/balíku. Dátum  poštovej  pečiatky nesmie byť vyšší, ako dátum stanovený za posledný deň prijímania </w:t>
      </w:r>
      <w:proofErr w:type="spellStart"/>
      <w:r w:rsidRPr="007567CB">
        <w:t>ŽoNFP</w:t>
      </w:r>
      <w:proofErr w:type="spellEnd"/>
      <w:r w:rsidRPr="007567CB">
        <w:t xml:space="preserve"> na PPA. PPA akceptuje uvedený dátum (obmedzuje </w:t>
      </w:r>
      <w:r w:rsidRPr="005A5E02">
        <w:t xml:space="preserve">maximálnu prípustnú lehotu prostredníctvom poštovej alebo inej prepravy </w:t>
      </w:r>
      <w:proofErr w:type="spellStart"/>
      <w:r w:rsidRPr="005A5E02">
        <w:t>ŽoNFP</w:t>
      </w:r>
      <w:proofErr w:type="spellEnd"/>
      <w:r w:rsidRPr="005A5E02">
        <w:t>)</w:t>
      </w:r>
      <w:r w:rsidRPr="007567CB">
        <w:t xml:space="preserve"> iba v prípade, ak takto podané </w:t>
      </w:r>
      <w:proofErr w:type="spellStart"/>
      <w:r w:rsidRPr="007567CB">
        <w:t>ŽoNFP</w:t>
      </w:r>
      <w:proofErr w:type="spellEnd"/>
      <w:r w:rsidRPr="007567CB">
        <w:t xml:space="preserve"> boli prijaté z pošty podateľňou ústredia PPA najneskôr do 7. pracovného dňa (vrátane dňa podania </w:t>
      </w:r>
      <w:proofErr w:type="spellStart"/>
      <w:r w:rsidRPr="007567CB">
        <w:t>ŽoNFP</w:t>
      </w:r>
      <w:proofErr w:type="spellEnd"/>
      <w:r w:rsidRPr="007567CB">
        <w:t xml:space="preserve"> na pošte) od dátumu stanoveného ako posledný deň prijímania </w:t>
      </w:r>
      <w:proofErr w:type="spellStart"/>
      <w:r w:rsidRPr="007567CB">
        <w:t>ŽoNFP</w:t>
      </w:r>
      <w:proofErr w:type="spellEnd"/>
      <w:r w:rsidRPr="007567CB">
        <w:t xml:space="preserve"> (uzavretia výzvy).</w:t>
      </w:r>
    </w:p>
    <w:p w:rsidR="00B2780C" w:rsidRPr="007567CB" w:rsidRDefault="00B2780C" w:rsidP="005A5E02">
      <w:pPr>
        <w:numPr>
          <w:ilvl w:val="2"/>
          <w:numId w:val="25"/>
        </w:numPr>
        <w:autoSpaceDE w:val="0"/>
        <w:spacing w:line="280" w:lineRule="exact"/>
        <w:ind w:left="1276" w:hanging="425"/>
        <w:jc w:val="both"/>
      </w:pPr>
      <w:r w:rsidRPr="007567CB">
        <w:t xml:space="preserve">Pri osobnom podaní </w:t>
      </w:r>
      <w:proofErr w:type="spellStart"/>
      <w:r w:rsidRPr="007567CB">
        <w:t>ŽoNFP</w:t>
      </w:r>
      <w:proofErr w:type="spellEnd"/>
      <w:r w:rsidRPr="007567CB">
        <w:t xml:space="preserve"> do podateľne ústredia PPA, nesmie byť dátum na pečiatke podateľne ústredia PPA vyšší, ako dátum stanovený za posledný deň prijímania </w:t>
      </w:r>
      <w:proofErr w:type="spellStart"/>
      <w:r w:rsidRPr="007567CB">
        <w:t>ŽoNFP</w:t>
      </w:r>
      <w:proofErr w:type="spellEnd"/>
      <w:r w:rsidRPr="007567CB">
        <w:t xml:space="preserve"> na PPA.</w:t>
      </w:r>
    </w:p>
    <w:p w:rsidR="00B2780C" w:rsidRPr="007567CB" w:rsidRDefault="00B2780C" w:rsidP="005A5E02">
      <w:pPr>
        <w:numPr>
          <w:ilvl w:val="2"/>
          <w:numId w:val="25"/>
        </w:numPr>
        <w:autoSpaceDE w:val="0"/>
        <w:spacing w:line="280" w:lineRule="exact"/>
        <w:ind w:left="1276" w:hanging="425"/>
        <w:jc w:val="both"/>
      </w:pPr>
      <w:r w:rsidRPr="007567CB">
        <w:t xml:space="preserve">V prípade, že </w:t>
      </w:r>
      <w:proofErr w:type="spellStart"/>
      <w:r w:rsidRPr="007567CB">
        <w:t>ŽoNFP</w:t>
      </w:r>
      <w:proofErr w:type="spellEnd"/>
      <w:r w:rsidRPr="007567CB">
        <w:t xml:space="preserve">  nebola doručená riadne, v predpísanej lehote, t.j. že nebol dodržaný rozhodujúci </w:t>
      </w:r>
      <w:r w:rsidRPr="005A5E02">
        <w:t xml:space="preserve">dátum odovzdania na poštovú, resp. inú prepravu  najneskôr v posledný deň uzávierky výzvy, resp. lehoty určenej na predkladanie </w:t>
      </w:r>
      <w:proofErr w:type="spellStart"/>
      <w:r w:rsidRPr="005A5E02">
        <w:t>ŽoNFP</w:t>
      </w:r>
      <w:proofErr w:type="spellEnd"/>
      <w:r w:rsidRPr="005A5E02">
        <w:t xml:space="preserve"> vo výzve</w:t>
      </w:r>
      <w:r w:rsidRPr="007567CB">
        <w:t xml:space="preserve"> a/alebo </w:t>
      </w:r>
      <w:proofErr w:type="spellStart"/>
      <w:r w:rsidRPr="007567CB">
        <w:t>ŽoNFP</w:t>
      </w:r>
      <w:proofErr w:type="spellEnd"/>
      <w:r w:rsidRPr="007567CB">
        <w:t xml:space="preserve"> nebola doručená v určenej forme, PPA konanie zastaví a vydá Rozhodnutie o zastavení konania v zmysle Zák. č. 292/2014 </w:t>
      </w:r>
      <w:proofErr w:type="spellStart"/>
      <w:r w:rsidRPr="007567CB">
        <w:t>Z.z</w:t>
      </w:r>
      <w:proofErr w:type="spellEnd"/>
      <w:r w:rsidRPr="007567CB">
        <w:t>., §20, ods. 2</w:t>
      </w:r>
      <w:r w:rsidR="006938BF">
        <w:t>.</w:t>
      </w:r>
    </w:p>
    <w:p w:rsidR="00B2780C" w:rsidRPr="007567CB" w:rsidRDefault="00B2780C" w:rsidP="005A5E02">
      <w:pPr>
        <w:numPr>
          <w:ilvl w:val="2"/>
          <w:numId w:val="25"/>
        </w:numPr>
        <w:autoSpaceDE w:val="0"/>
        <w:spacing w:line="280" w:lineRule="exact"/>
        <w:ind w:left="1276" w:hanging="425"/>
        <w:jc w:val="both"/>
      </w:pPr>
      <w:proofErr w:type="spellStart"/>
      <w:r w:rsidRPr="007567CB">
        <w:t>ŽoNFP</w:t>
      </w:r>
      <w:proofErr w:type="spellEnd"/>
      <w:r w:rsidRPr="007567CB">
        <w:t xml:space="preserve"> sa podávajú spolu so všetkými povinnými  prílohami v zalepenej obálke/balíku. V ľavom hornom rohu obálky/balíka žiadateľ uvedie číslo tejto výzvy, </w:t>
      </w:r>
      <w:r w:rsidR="00D2347E">
        <w:t>číslo</w:t>
      </w:r>
      <w:r w:rsidRPr="007567CB">
        <w:t xml:space="preserve"> opatrenia/</w:t>
      </w:r>
      <w:proofErr w:type="spellStart"/>
      <w:r w:rsidRPr="007567CB">
        <w:t>podopatrenia</w:t>
      </w:r>
      <w:proofErr w:type="spellEnd"/>
      <w:r w:rsidRPr="007567CB">
        <w:t xml:space="preserve">, názov </w:t>
      </w:r>
      <w:r w:rsidR="00D2347E">
        <w:t>žiadateľa</w:t>
      </w:r>
      <w:r w:rsidRPr="007567CB">
        <w:t>, IČO a v pravom dolnom rohu obálky/balíka žiadateľ uvedie nápis „Neotvárať“</w:t>
      </w:r>
      <w:r w:rsidR="00DF7694">
        <w:t>.</w:t>
      </w:r>
      <w:r w:rsidR="00D2347E">
        <w:t xml:space="preserve"> </w:t>
      </w:r>
    </w:p>
    <w:p w:rsidR="00B2780C" w:rsidRPr="007567CB" w:rsidRDefault="00B2780C" w:rsidP="005A5E02">
      <w:pPr>
        <w:numPr>
          <w:ilvl w:val="2"/>
          <w:numId w:val="25"/>
        </w:numPr>
        <w:autoSpaceDE w:val="0"/>
        <w:spacing w:line="280" w:lineRule="exact"/>
        <w:ind w:left="1276" w:hanging="425"/>
        <w:jc w:val="both"/>
      </w:pPr>
      <w:proofErr w:type="spellStart"/>
      <w:r w:rsidRPr="007567CB">
        <w:t>ŽoNFP</w:t>
      </w:r>
      <w:proofErr w:type="spellEnd"/>
      <w:r w:rsidRPr="007567CB">
        <w:t xml:space="preserve"> sa podávajú uložené spolu s povinnými prílohami v pevnom zakladacom </w:t>
      </w:r>
      <w:proofErr w:type="spellStart"/>
      <w:r w:rsidRPr="007567CB">
        <w:t>šanóne</w:t>
      </w:r>
      <w:proofErr w:type="spellEnd"/>
      <w:r w:rsidRPr="007567CB">
        <w:t xml:space="preserve"> ľubovoľnej farby. Prílohy sa do </w:t>
      </w:r>
      <w:proofErr w:type="spellStart"/>
      <w:r w:rsidRPr="007567CB">
        <w:t>šanónu</w:t>
      </w:r>
      <w:proofErr w:type="spellEnd"/>
      <w:r w:rsidRPr="007567CB">
        <w:t xml:space="preserve"> vkladajú zostupne, tzn. zhora nadol, pričom na vrchu bude formulár </w:t>
      </w:r>
      <w:proofErr w:type="spellStart"/>
      <w:r w:rsidRPr="007567CB">
        <w:t>ŽoNFP</w:t>
      </w:r>
      <w:proofErr w:type="spellEnd"/>
      <w:r w:rsidRPr="007567CB">
        <w:t xml:space="preserve"> a nasledovať budú povinné prílohy podľa poradia uvedeného v </w:t>
      </w:r>
      <w:proofErr w:type="spellStart"/>
      <w:r w:rsidRPr="007567CB">
        <w:t>ŽoNFP</w:t>
      </w:r>
      <w:proofErr w:type="spellEnd"/>
      <w:r w:rsidRPr="007567CB">
        <w:t xml:space="preserve"> a každá príloha založená zvlášť vo fóliovom euroobale (ak technicky nie je možné v euroobale, použije sa iný vhodný spôsob podľa uváženia žiadateľa)</w:t>
      </w:r>
    </w:p>
    <w:p w:rsidR="00B2780C" w:rsidRPr="007567CB" w:rsidRDefault="00B2780C" w:rsidP="005A5E02">
      <w:pPr>
        <w:numPr>
          <w:ilvl w:val="2"/>
          <w:numId w:val="25"/>
        </w:numPr>
        <w:autoSpaceDE w:val="0"/>
        <w:spacing w:line="280" w:lineRule="exact"/>
        <w:ind w:left="1276" w:hanging="425"/>
        <w:jc w:val="both"/>
      </w:pPr>
      <w:proofErr w:type="spellStart"/>
      <w:r w:rsidRPr="007567CB">
        <w:t>ŽoNFP</w:t>
      </w:r>
      <w:proofErr w:type="spellEnd"/>
      <w:r w:rsidRPr="007567CB">
        <w:t xml:space="preserve"> sa podávajú v jednom originálnom vyhotovení. </w:t>
      </w:r>
      <w:proofErr w:type="spellStart"/>
      <w:r w:rsidRPr="007567CB">
        <w:t>ŽoNFP</w:t>
      </w:r>
      <w:proofErr w:type="spellEnd"/>
      <w:r w:rsidRPr="007567CB">
        <w:t xml:space="preserve"> musia byť  podpísané  štatutárnym zástupcom  žiadateľa alebo  osobou úradne splnomocnenou štatutárnym orgánom žiadateľa na mieste/miestach predpísaných vo formulári </w:t>
      </w:r>
      <w:proofErr w:type="spellStart"/>
      <w:r w:rsidRPr="007567CB">
        <w:t>ŽoNFP</w:t>
      </w:r>
      <w:proofErr w:type="spellEnd"/>
      <w:r w:rsidR="00DF7694">
        <w:t>.</w:t>
      </w:r>
    </w:p>
    <w:p w:rsidR="00B2780C" w:rsidRPr="005A5E02" w:rsidRDefault="00B2780C" w:rsidP="005A5E02">
      <w:pPr>
        <w:numPr>
          <w:ilvl w:val="2"/>
          <w:numId w:val="25"/>
        </w:numPr>
        <w:autoSpaceDE w:val="0"/>
        <w:spacing w:line="280" w:lineRule="exact"/>
        <w:ind w:left="1276" w:hanging="425"/>
        <w:jc w:val="both"/>
      </w:pPr>
      <w:r w:rsidRPr="007567CB">
        <w:t xml:space="preserve">Pre vypracovanie </w:t>
      </w:r>
      <w:proofErr w:type="spellStart"/>
      <w:r w:rsidRPr="007567CB">
        <w:t>ŽoNFP</w:t>
      </w:r>
      <w:proofErr w:type="spellEnd"/>
      <w:r w:rsidRPr="007567CB">
        <w:t xml:space="preserve"> a pre ich administráciu platia ustanovenia uvedené v Príručke, ktorá tvorí prílohu č. 3.2 tejto výzvy</w:t>
      </w:r>
      <w:r w:rsidR="00DF7694">
        <w:t>.</w:t>
      </w:r>
    </w:p>
    <w:p w:rsidR="00B2780C" w:rsidRPr="007567CB" w:rsidRDefault="00B2780C" w:rsidP="005A5E02">
      <w:pPr>
        <w:numPr>
          <w:ilvl w:val="2"/>
          <w:numId w:val="25"/>
        </w:numPr>
        <w:autoSpaceDE w:val="0"/>
        <w:spacing w:line="280" w:lineRule="exact"/>
        <w:ind w:left="1276" w:hanging="425"/>
        <w:jc w:val="both"/>
      </w:pPr>
      <w:r w:rsidRPr="007567CB">
        <w:t xml:space="preserve">PPA registruje len kompletné </w:t>
      </w:r>
      <w:proofErr w:type="spellStart"/>
      <w:r w:rsidRPr="007567CB">
        <w:t>ŽoNFP</w:t>
      </w:r>
      <w:proofErr w:type="spellEnd"/>
      <w:r w:rsidRPr="007567CB">
        <w:t xml:space="preserve">, t.j. </w:t>
      </w:r>
      <w:proofErr w:type="spellStart"/>
      <w:r w:rsidRPr="007567CB">
        <w:t>ŽoNFP</w:t>
      </w:r>
      <w:proofErr w:type="spellEnd"/>
      <w:r w:rsidRPr="007567CB">
        <w:t xml:space="preserve">, ktoré obsahujú všetky povinné prílohy, uvedené vo formulári </w:t>
      </w:r>
      <w:proofErr w:type="spellStart"/>
      <w:r w:rsidRPr="007567CB">
        <w:t>ŽoNFP</w:t>
      </w:r>
      <w:proofErr w:type="spellEnd"/>
      <w:r w:rsidRPr="007567CB">
        <w:t>, v časti  „C</w:t>
      </w:r>
      <w:r w:rsidR="004E4A9C">
        <w:t>1.</w:t>
      </w:r>
      <w:r w:rsidRPr="007567CB">
        <w:t xml:space="preserve"> </w:t>
      </w:r>
      <w:r w:rsidR="004E4A9C" w:rsidRPr="004E4A9C">
        <w:t xml:space="preserve">Prílohy, ktoré je žiadateľ povinný predložiť ku dňu podania </w:t>
      </w:r>
      <w:proofErr w:type="spellStart"/>
      <w:r w:rsidR="004E4A9C" w:rsidRPr="004E4A9C">
        <w:t>ŽoNFP</w:t>
      </w:r>
      <w:proofErr w:type="spellEnd"/>
      <w:r w:rsidRPr="007567CB">
        <w:t xml:space="preserve">“, zoradené podľa predpísaného poradia. V prípade nesplnenia týchto podmienok nebudú </w:t>
      </w:r>
      <w:proofErr w:type="spellStart"/>
      <w:r w:rsidRPr="007567CB">
        <w:t>ŽoNFP</w:t>
      </w:r>
      <w:proofErr w:type="spellEnd"/>
      <w:r w:rsidRPr="007567CB">
        <w:t xml:space="preserve"> akceptované.</w:t>
      </w:r>
    </w:p>
    <w:p w:rsidR="00B2780C" w:rsidRDefault="00B2780C" w:rsidP="00B2780C">
      <w:pPr>
        <w:autoSpaceDE w:val="0"/>
        <w:spacing w:line="280" w:lineRule="exact"/>
        <w:ind w:left="1436" w:hanging="332"/>
        <w:jc w:val="both"/>
        <w:rPr>
          <w:b/>
          <w:bCs/>
        </w:rPr>
      </w:pPr>
    </w:p>
    <w:p w:rsidR="004A47DB" w:rsidRPr="007567CB" w:rsidRDefault="004A47DB" w:rsidP="00B2780C">
      <w:pPr>
        <w:autoSpaceDE w:val="0"/>
        <w:spacing w:line="280" w:lineRule="exact"/>
        <w:ind w:left="1436" w:hanging="332"/>
        <w:jc w:val="both"/>
        <w:rPr>
          <w:b/>
          <w:bCs/>
        </w:rPr>
      </w:pPr>
    </w:p>
    <w:p w:rsidR="00B2780C" w:rsidRPr="007567CB" w:rsidRDefault="00B2780C" w:rsidP="00B2780C">
      <w:pPr>
        <w:numPr>
          <w:ilvl w:val="0"/>
          <w:numId w:val="2"/>
        </w:numPr>
        <w:tabs>
          <w:tab w:val="left" w:pos="289"/>
        </w:tabs>
        <w:spacing w:line="280" w:lineRule="exact"/>
        <w:ind w:hanging="720"/>
        <w:jc w:val="both"/>
        <w:rPr>
          <w:b/>
          <w:bCs/>
        </w:rPr>
      </w:pPr>
      <w:r w:rsidRPr="007567CB">
        <w:rPr>
          <w:b/>
          <w:bCs/>
        </w:rPr>
        <w:t>Podmienky poskytnutia NFP</w:t>
      </w:r>
    </w:p>
    <w:p w:rsidR="00B2780C" w:rsidRPr="007567CB" w:rsidRDefault="00B2780C" w:rsidP="00B2780C">
      <w:pPr>
        <w:tabs>
          <w:tab w:val="left" w:pos="289"/>
        </w:tabs>
        <w:spacing w:line="280" w:lineRule="exact"/>
        <w:ind w:left="720"/>
        <w:rPr>
          <w:b/>
        </w:rPr>
      </w:pPr>
    </w:p>
    <w:p w:rsidR="00B2780C" w:rsidRPr="007567CB" w:rsidRDefault="00B2780C" w:rsidP="006938BF">
      <w:pPr>
        <w:numPr>
          <w:ilvl w:val="1"/>
          <w:numId w:val="6"/>
        </w:numPr>
        <w:tabs>
          <w:tab w:val="clear" w:pos="0"/>
          <w:tab w:val="left" w:pos="289"/>
        </w:tabs>
        <w:spacing w:line="280" w:lineRule="exact"/>
        <w:ind w:left="567" w:hanging="283"/>
        <w:jc w:val="both"/>
        <w:rPr>
          <w:lang w:eastAsia="sk-SK"/>
        </w:rPr>
      </w:pPr>
      <w:r w:rsidRPr="007567CB">
        <w:rPr>
          <w:b/>
        </w:rPr>
        <w:t xml:space="preserve">Oprávnenosť žiadateľa (prijímateľa): </w:t>
      </w:r>
    </w:p>
    <w:p w:rsidR="00B2780C" w:rsidRPr="007567CB" w:rsidRDefault="00B2780C" w:rsidP="00B2780C">
      <w:pPr>
        <w:tabs>
          <w:tab w:val="left" w:pos="289"/>
        </w:tabs>
        <w:spacing w:line="280" w:lineRule="exact"/>
        <w:ind w:left="567"/>
        <w:jc w:val="both"/>
        <w:rPr>
          <w:lang w:eastAsia="sk-SK"/>
        </w:rPr>
      </w:pPr>
    </w:p>
    <w:p w:rsidR="00B2780C" w:rsidRPr="007567CB" w:rsidRDefault="006938BF" w:rsidP="00B2780C">
      <w:pPr>
        <w:autoSpaceDE w:val="0"/>
        <w:spacing w:line="280" w:lineRule="exact"/>
        <w:ind w:left="709"/>
        <w:jc w:val="both"/>
        <w:rPr>
          <w:lang w:eastAsia="sk-SK"/>
        </w:rPr>
      </w:pPr>
      <w:r w:rsidRPr="006938BF">
        <w:rPr>
          <w:lang w:eastAsia="sk-SK"/>
        </w:rPr>
        <w:t>Verejný subjekt, ak preukáže prepojenie medzi realizovanými investíciami a potenciálom poľnohospodárskej výroby (</w:t>
      </w:r>
      <w:proofErr w:type="spellStart"/>
      <w:r w:rsidRPr="006938BF">
        <w:rPr>
          <w:lang w:eastAsia="sk-SK"/>
        </w:rPr>
        <w:t>Hydromeliorácie</w:t>
      </w:r>
      <w:proofErr w:type="spellEnd"/>
      <w:r w:rsidRPr="006938BF">
        <w:rPr>
          <w:lang w:eastAsia="sk-SK"/>
        </w:rPr>
        <w:t>, štátny podnik).</w:t>
      </w:r>
    </w:p>
    <w:p w:rsidR="00B2780C" w:rsidRPr="007567CB" w:rsidRDefault="00B2780C" w:rsidP="00B2780C">
      <w:pPr>
        <w:autoSpaceDE w:val="0"/>
        <w:spacing w:line="280" w:lineRule="exact"/>
        <w:ind w:left="709"/>
        <w:jc w:val="both"/>
        <w:rPr>
          <w:lang w:eastAsia="sk-SK"/>
        </w:rPr>
      </w:pPr>
    </w:p>
    <w:p w:rsidR="00B2780C" w:rsidRPr="007567CB" w:rsidRDefault="00B2780C" w:rsidP="006938BF">
      <w:pPr>
        <w:numPr>
          <w:ilvl w:val="1"/>
          <w:numId w:val="6"/>
        </w:numPr>
        <w:tabs>
          <w:tab w:val="left" w:pos="289"/>
        </w:tabs>
        <w:spacing w:line="280" w:lineRule="exact"/>
        <w:ind w:left="567" w:hanging="283"/>
        <w:jc w:val="both"/>
        <w:rPr>
          <w:b/>
          <w:bCs/>
          <w:lang w:eastAsia="sk-SK"/>
        </w:rPr>
      </w:pPr>
      <w:r w:rsidRPr="007567CB">
        <w:rPr>
          <w:b/>
        </w:rPr>
        <w:t xml:space="preserve">Oprávnenosť aktivít realizácie projektu </w:t>
      </w:r>
    </w:p>
    <w:p w:rsidR="00B2780C" w:rsidRPr="007567CB" w:rsidRDefault="00B2780C" w:rsidP="00B2780C">
      <w:pPr>
        <w:tabs>
          <w:tab w:val="left" w:pos="289"/>
        </w:tabs>
        <w:spacing w:line="280" w:lineRule="exact"/>
        <w:ind w:left="567"/>
        <w:jc w:val="both"/>
        <w:rPr>
          <w:b/>
          <w:bCs/>
          <w:lang w:eastAsia="sk-SK"/>
        </w:rPr>
      </w:pPr>
    </w:p>
    <w:p w:rsidR="006938BF" w:rsidRDefault="006938BF" w:rsidP="006938BF">
      <w:pPr>
        <w:pStyle w:val="Odsekzoznamu"/>
        <w:suppressAutoHyphens w:val="0"/>
        <w:autoSpaceDE w:val="0"/>
        <w:autoSpaceDN w:val="0"/>
        <w:adjustRightInd w:val="0"/>
        <w:spacing w:after="120"/>
        <w:ind w:left="709"/>
        <w:contextualSpacing/>
        <w:jc w:val="both"/>
      </w:pPr>
      <w:r w:rsidRPr="006938BF">
        <w:t xml:space="preserve">Rekonštrukcia, modernizácia, oprava a dostavba (v zmysle </w:t>
      </w:r>
      <w:proofErr w:type="spellStart"/>
      <w:r w:rsidRPr="006938BF">
        <w:t>vodozádržných</w:t>
      </w:r>
      <w:proofErr w:type="spellEnd"/>
      <w:r w:rsidRPr="006938BF">
        <w:t xml:space="preserve"> opatrení, resp. vodných stavidiel) odvodňovacích systémov, kanálov s regulovaným odtokom a čerpacích staníc a ich zariadení, ktoré sú v súlade s relevantnými plánmi manažmentu povodia.</w:t>
      </w:r>
      <w:r w:rsidR="00B2780C" w:rsidRPr="007567CB">
        <w:t xml:space="preserve"> </w:t>
      </w:r>
    </w:p>
    <w:p w:rsidR="00B2780C" w:rsidRPr="007567CB" w:rsidRDefault="00B2780C" w:rsidP="006938BF">
      <w:pPr>
        <w:pStyle w:val="Odsekzoznamu"/>
        <w:suppressAutoHyphens w:val="0"/>
        <w:autoSpaceDE w:val="0"/>
        <w:autoSpaceDN w:val="0"/>
        <w:adjustRightInd w:val="0"/>
        <w:spacing w:after="120"/>
        <w:ind w:left="709"/>
        <w:contextualSpacing/>
        <w:jc w:val="both"/>
      </w:pPr>
      <w:r w:rsidRPr="007567CB">
        <w:t xml:space="preserve"> </w:t>
      </w:r>
    </w:p>
    <w:p w:rsidR="00B2780C" w:rsidRPr="007567CB" w:rsidRDefault="00B2780C" w:rsidP="006938BF">
      <w:pPr>
        <w:numPr>
          <w:ilvl w:val="1"/>
          <w:numId w:val="6"/>
        </w:numPr>
        <w:tabs>
          <w:tab w:val="left" w:pos="289"/>
        </w:tabs>
        <w:spacing w:line="280" w:lineRule="exact"/>
        <w:ind w:left="567" w:hanging="283"/>
        <w:jc w:val="both"/>
        <w:rPr>
          <w:b/>
        </w:rPr>
      </w:pPr>
      <w:r w:rsidRPr="007567CB">
        <w:rPr>
          <w:b/>
        </w:rPr>
        <w:t xml:space="preserve">Oprávnenosť výdavkov realizácie projektu: </w:t>
      </w:r>
    </w:p>
    <w:p w:rsidR="00B2780C" w:rsidRPr="007567CB" w:rsidRDefault="00B2780C" w:rsidP="00B2780C">
      <w:pPr>
        <w:pStyle w:val="Odsekzoznamu"/>
        <w:rPr>
          <w:b/>
        </w:rPr>
      </w:pPr>
    </w:p>
    <w:p w:rsidR="00B2780C" w:rsidRPr="007567CB" w:rsidRDefault="00B2780C" w:rsidP="006938BF">
      <w:pPr>
        <w:pStyle w:val="Odsekzoznamu"/>
        <w:numPr>
          <w:ilvl w:val="2"/>
          <w:numId w:val="10"/>
        </w:numPr>
        <w:tabs>
          <w:tab w:val="left" w:pos="289"/>
        </w:tabs>
        <w:spacing w:line="280" w:lineRule="exact"/>
        <w:ind w:hanging="311"/>
        <w:jc w:val="both"/>
        <w:rPr>
          <w:b/>
        </w:rPr>
      </w:pPr>
      <w:r w:rsidRPr="007567CB">
        <w:rPr>
          <w:b/>
        </w:rPr>
        <w:t>Oprávnené výdavky:</w:t>
      </w:r>
    </w:p>
    <w:p w:rsidR="00B2780C" w:rsidRPr="007567CB" w:rsidRDefault="00B2780C" w:rsidP="00B2780C">
      <w:pPr>
        <w:tabs>
          <w:tab w:val="left" w:pos="851"/>
        </w:tabs>
        <w:jc w:val="both"/>
        <w:rPr>
          <w:b/>
          <w:bCs/>
          <w:lang w:eastAsia="sk-SK"/>
        </w:rPr>
      </w:pPr>
    </w:p>
    <w:p w:rsidR="00B2780C" w:rsidRPr="007567CB" w:rsidRDefault="00B2780C" w:rsidP="006938BF">
      <w:pPr>
        <w:numPr>
          <w:ilvl w:val="0"/>
          <w:numId w:val="22"/>
        </w:numPr>
        <w:ind w:left="1843" w:hanging="425"/>
        <w:jc w:val="both"/>
        <w:rPr>
          <w:bCs/>
        </w:rPr>
      </w:pPr>
      <w:r w:rsidRPr="007567CB">
        <w:rPr>
          <w:bCs/>
        </w:rPr>
        <w:t xml:space="preserve">Výdavky, pri ktorých verejné obstarávanie bolo začaté najskôr dňa 01.12.2014,  vynaložené až po predložení </w:t>
      </w:r>
      <w:proofErr w:type="spellStart"/>
      <w:r w:rsidRPr="007567CB">
        <w:rPr>
          <w:bCs/>
        </w:rPr>
        <w:t>ŽoNFP</w:t>
      </w:r>
      <w:proofErr w:type="spellEnd"/>
      <w:r w:rsidRPr="007567CB">
        <w:rPr>
          <w:bCs/>
        </w:rPr>
        <w:t xml:space="preserve"> na PPA,</w:t>
      </w:r>
    </w:p>
    <w:p w:rsidR="00B2780C" w:rsidRPr="00C37964" w:rsidRDefault="00B2780C" w:rsidP="006938BF">
      <w:pPr>
        <w:numPr>
          <w:ilvl w:val="0"/>
          <w:numId w:val="22"/>
        </w:numPr>
        <w:ind w:left="1843" w:hanging="425"/>
        <w:jc w:val="both"/>
        <w:rPr>
          <w:bCs/>
        </w:rPr>
      </w:pPr>
      <w:r w:rsidRPr="007567CB">
        <w:rPr>
          <w:bCs/>
        </w:rPr>
        <w:t xml:space="preserve">Výdavky vynaložené </w:t>
      </w:r>
      <w:r w:rsidRPr="007567CB">
        <w:rPr>
          <w:b/>
          <w:bCs/>
        </w:rPr>
        <w:t xml:space="preserve">až po predložení </w:t>
      </w:r>
      <w:proofErr w:type="spellStart"/>
      <w:r w:rsidRPr="007567CB">
        <w:rPr>
          <w:b/>
          <w:bCs/>
        </w:rPr>
        <w:t>ŽoNFP</w:t>
      </w:r>
      <w:proofErr w:type="spellEnd"/>
      <w:r w:rsidRPr="007567CB">
        <w:rPr>
          <w:bCs/>
        </w:rPr>
        <w:t xml:space="preserve"> na PPA, </w:t>
      </w:r>
      <w:r w:rsidRPr="007567CB">
        <w:rPr>
          <w:b/>
          <w:bCs/>
        </w:rPr>
        <w:t>s výnimkou všeobecných výdavkov</w:t>
      </w:r>
      <w:r w:rsidRPr="007567CB">
        <w:rPr>
          <w:bCs/>
        </w:rPr>
        <w:t xml:space="preserve"> </w:t>
      </w:r>
      <w:r w:rsidRPr="007567CB">
        <w:rPr>
          <w:b/>
          <w:bCs/>
        </w:rPr>
        <w:t>na prípravné práce</w:t>
      </w:r>
      <w:r w:rsidRPr="007567CB">
        <w:rPr>
          <w:bCs/>
        </w:rPr>
        <w:t xml:space="preserve"> súvisiace s výstavbou, rekonštrukciou a modernizáciou nehnuteľného majetku, uvedené v bode 2.2, pri ktorých verejné obstarávanie bolo začaté najskôr dňa 01.12.2014 </w:t>
      </w:r>
      <w:r w:rsidRPr="00C37964">
        <w:rPr>
          <w:bCs/>
        </w:rPr>
        <w:t xml:space="preserve">a to </w:t>
      </w:r>
      <w:r w:rsidRPr="00C37964">
        <w:rPr>
          <w:b/>
          <w:bCs/>
        </w:rPr>
        <w:t xml:space="preserve">v max. výške </w:t>
      </w:r>
      <w:r w:rsidR="003A5F53" w:rsidRPr="00C37964">
        <w:rPr>
          <w:b/>
          <w:bCs/>
        </w:rPr>
        <w:t>1</w:t>
      </w:r>
      <w:r w:rsidR="006938BF" w:rsidRPr="00C37964">
        <w:rPr>
          <w:b/>
          <w:bCs/>
        </w:rPr>
        <w:t>5</w:t>
      </w:r>
      <w:r w:rsidRPr="00C37964">
        <w:rPr>
          <w:b/>
          <w:bCs/>
        </w:rPr>
        <w:t>%</w:t>
      </w:r>
      <w:r w:rsidRPr="00C37964">
        <w:rPr>
          <w:bCs/>
        </w:rPr>
        <w:t xml:space="preserve"> z oprávnených výdavkov. </w:t>
      </w:r>
      <w:r w:rsidRPr="00C37964">
        <w:rPr>
          <w:b/>
          <w:bCs/>
        </w:rPr>
        <w:t>Pod výdavkami na prípravné práce</w:t>
      </w:r>
      <w:r w:rsidRPr="00C37964">
        <w:rPr>
          <w:bCs/>
        </w:rPr>
        <w:t xml:space="preserve"> sa rozumejú </w:t>
      </w:r>
      <w:r w:rsidRPr="00C37964">
        <w:rPr>
          <w:lang w:eastAsia="sk-SK"/>
        </w:rPr>
        <w:t>výdavky na poplatky architektom, projektantom, inžinierom a konzultantom súvisiace s vypracovaním projektovej dokumentácie</w:t>
      </w:r>
      <w:r w:rsidR="00854267" w:rsidRPr="00C37964">
        <w:rPr>
          <w:lang w:eastAsia="sk-SK"/>
        </w:rPr>
        <w:t xml:space="preserve"> a v súvislosti s realizáciou investície a výdavky za stavebný dozor. </w:t>
      </w:r>
      <w:r w:rsidRPr="00C37964">
        <w:rPr>
          <w:bCs/>
        </w:rPr>
        <w:t xml:space="preserve">Výdavky na prípravné práce mohli byť vynaložené aj pred  predložením </w:t>
      </w:r>
      <w:proofErr w:type="spellStart"/>
      <w:r w:rsidRPr="00C37964">
        <w:rPr>
          <w:bCs/>
        </w:rPr>
        <w:t>ŽoNFP</w:t>
      </w:r>
      <w:proofErr w:type="spellEnd"/>
      <w:r w:rsidRPr="00C37964">
        <w:rPr>
          <w:bCs/>
        </w:rPr>
        <w:t xml:space="preserve"> na PPA,</w:t>
      </w:r>
    </w:p>
    <w:p w:rsidR="00B2780C" w:rsidRPr="007567CB" w:rsidRDefault="00B2780C" w:rsidP="006938BF">
      <w:pPr>
        <w:numPr>
          <w:ilvl w:val="0"/>
          <w:numId w:val="22"/>
        </w:numPr>
        <w:ind w:left="1843" w:hanging="425"/>
        <w:jc w:val="both"/>
        <w:rPr>
          <w:bCs/>
        </w:rPr>
      </w:pPr>
      <w:r w:rsidRPr="007567CB">
        <w:rPr>
          <w:lang w:eastAsia="sk-SK"/>
        </w:rPr>
        <w:t xml:space="preserve">Výdavky na hmotné a nehmotné investície, ktoré sú v súlade s podporovanými aktivitami v rámci tohto </w:t>
      </w:r>
      <w:proofErr w:type="spellStart"/>
      <w:r w:rsidRPr="007567CB">
        <w:rPr>
          <w:lang w:eastAsia="sk-SK"/>
        </w:rPr>
        <w:t>podo</w:t>
      </w:r>
      <w:r w:rsidR="003F6576">
        <w:rPr>
          <w:lang w:eastAsia="sk-SK"/>
        </w:rPr>
        <w:t>patrenia</w:t>
      </w:r>
      <w:proofErr w:type="spellEnd"/>
      <w:r w:rsidR="003F6576">
        <w:rPr>
          <w:lang w:eastAsia="sk-SK"/>
        </w:rPr>
        <w:t>, uvedenými v bode 2.2</w:t>
      </w:r>
    </w:p>
    <w:p w:rsidR="00B2780C" w:rsidRPr="007567CB" w:rsidRDefault="00B2780C" w:rsidP="00B2780C">
      <w:pPr>
        <w:pStyle w:val="Odsekzoznamu"/>
        <w:rPr>
          <w:bCs/>
        </w:rPr>
      </w:pPr>
    </w:p>
    <w:p w:rsidR="00B2780C" w:rsidRPr="007567CB" w:rsidRDefault="00B2780C" w:rsidP="003F6576">
      <w:pPr>
        <w:pStyle w:val="Odsekzoznamu"/>
        <w:numPr>
          <w:ilvl w:val="2"/>
          <w:numId w:val="10"/>
        </w:numPr>
        <w:tabs>
          <w:tab w:val="left" w:pos="289"/>
        </w:tabs>
        <w:spacing w:line="280" w:lineRule="exact"/>
        <w:ind w:hanging="311"/>
        <w:jc w:val="both"/>
        <w:rPr>
          <w:b/>
        </w:rPr>
      </w:pPr>
      <w:r w:rsidRPr="007567CB">
        <w:rPr>
          <w:b/>
        </w:rPr>
        <w:t>Podmienky oprávnenosti:</w:t>
      </w:r>
    </w:p>
    <w:p w:rsidR="00B2780C" w:rsidRPr="007567CB" w:rsidRDefault="00B2780C" w:rsidP="00B2780C">
      <w:pPr>
        <w:pStyle w:val="Odsekzoznamu"/>
        <w:rPr>
          <w:lang w:eastAsia="sk-SK"/>
        </w:rPr>
      </w:pPr>
    </w:p>
    <w:p w:rsidR="00B2780C" w:rsidRPr="007567CB" w:rsidRDefault="00B2780C" w:rsidP="003F6576">
      <w:pPr>
        <w:pStyle w:val="Odsekzoznamu"/>
        <w:numPr>
          <w:ilvl w:val="0"/>
          <w:numId w:val="23"/>
        </w:numPr>
        <w:ind w:left="1843" w:hanging="425"/>
        <w:jc w:val="both"/>
        <w:rPr>
          <w:bCs/>
        </w:rPr>
      </w:pPr>
      <w:r w:rsidRPr="007567CB">
        <w:rPr>
          <w:bCs/>
        </w:rPr>
        <w:t>Splnenie všeobecných podmienok poskytnutia príspevku a výberových kritérií pre výber projektov, uvedených v bode „2.5 Kritériá pre výber projektov“</w:t>
      </w:r>
    </w:p>
    <w:p w:rsidR="003F6576" w:rsidRPr="003F6576" w:rsidRDefault="003F6576" w:rsidP="003F6576">
      <w:pPr>
        <w:pStyle w:val="Odsekzoznamu"/>
        <w:numPr>
          <w:ilvl w:val="0"/>
          <w:numId w:val="23"/>
        </w:numPr>
        <w:ind w:left="1843" w:hanging="425"/>
        <w:jc w:val="both"/>
        <w:rPr>
          <w:bCs/>
        </w:rPr>
      </w:pPr>
      <w:r>
        <w:rPr>
          <w:lang w:eastAsia="sk-SK"/>
        </w:rPr>
        <w:t>Preukázanie, že projekt prešiel posúdením v súlade s čl. (4.7), (8), (9) smernice Európskeho parlamentu a Rady 2000/60/ES, ktorá ustanovuje rámec pôsobnosti spoločenstva v oblasti vodnej politiky a že a príslušné zmierňujúce opatrenia sú navrhnuté;</w:t>
      </w:r>
    </w:p>
    <w:p w:rsidR="00B2780C" w:rsidRPr="003F6576" w:rsidRDefault="003F6576" w:rsidP="003F6576">
      <w:pPr>
        <w:pStyle w:val="Odsekzoznamu"/>
        <w:numPr>
          <w:ilvl w:val="0"/>
          <w:numId w:val="23"/>
        </w:numPr>
        <w:ind w:left="1843" w:hanging="425"/>
        <w:jc w:val="both"/>
        <w:rPr>
          <w:lang w:eastAsia="sk-SK"/>
        </w:rPr>
      </w:pPr>
      <w:r>
        <w:rPr>
          <w:lang w:eastAsia="sk-SK"/>
        </w:rPr>
        <w:t>Posúdenie v zmysle zákona o EIA a konečné stanovisko o posudzovaní vplyvov na životné prostredie je predložené;</w:t>
      </w:r>
    </w:p>
    <w:p w:rsidR="00B2780C" w:rsidRPr="003F6576" w:rsidRDefault="003F6576" w:rsidP="003F6576">
      <w:pPr>
        <w:pStyle w:val="Odsekzoznamu"/>
        <w:numPr>
          <w:ilvl w:val="0"/>
          <w:numId w:val="23"/>
        </w:numPr>
        <w:ind w:left="1843" w:hanging="425"/>
        <w:jc w:val="both"/>
        <w:rPr>
          <w:lang w:eastAsia="sk-SK"/>
        </w:rPr>
      </w:pPr>
      <w:r>
        <w:rPr>
          <w:lang w:eastAsia="sk-SK"/>
        </w:rPr>
        <w:t xml:space="preserve">Zhodnotenie </w:t>
      </w:r>
      <w:proofErr w:type="spellStart"/>
      <w:r>
        <w:rPr>
          <w:lang w:eastAsia="sk-SK"/>
        </w:rPr>
        <w:t>prekryvu</w:t>
      </w:r>
      <w:proofErr w:type="spellEnd"/>
      <w:r>
        <w:rPr>
          <w:lang w:eastAsia="sk-SK"/>
        </w:rPr>
        <w:t xml:space="preserve"> záplav a </w:t>
      </w:r>
      <w:proofErr w:type="spellStart"/>
      <w:r>
        <w:rPr>
          <w:lang w:eastAsia="sk-SK"/>
        </w:rPr>
        <w:t>aridity</w:t>
      </w:r>
      <w:proofErr w:type="spellEnd"/>
      <w:r>
        <w:rPr>
          <w:lang w:eastAsia="sk-SK"/>
        </w:rPr>
        <w:t xml:space="preserve"> daného územia s tým, že každý jednotlivý projekt preukáže, ako rieši (resp. eliminuje) suchá;</w:t>
      </w:r>
    </w:p>
    <w:p w:rsidR="00B2780C" w:rsidRPr="003F6576" w:rsidRDefault="003F6576" w:rsidP="003F6576">
      <w:pPr>
        <w:pStyle w:val="Odsekzoznamu"/>
        <w:numPr>
          <w:ilvl w:val="0"/>
          <w:numId w:val="23"/>
        </w:numPr>
        <w:ind w:left="1843" w:hanging="425"/>
        <w:jc w:val="both"/>
        <w:rPr>
          <w:lang w:eastAsia="sk-SK"/>
        </w:rPr>
      </w:pPr>
      <w:r>
        <w:rPr>
          <w:lang w:eastAsia="sk-SK"/>
        </w:rPr>
        <w:lastRenderedPageBreak/>
        <w:t>Dodržanie a preukázanie súladu čl. 6 smernice Rady 92/43/EHS o ochrane biotopov, voľne žijúcich živočíchov a voľne rastúcich rastlín, ak je to relevantné;</w:t>
      </w:r>
    </w:p>
    <w:p w:rsidR="00B2780C" w:rsidRPr="003F6576" w:rsidRDefault="003F6576" w:rsidP="003F6576">
      <w:pPr>
        <w:pStyle w:val="Odsekzoznamu"/>
        <w:numPr>
          <w:ilvl w:val="0"/>
          <w:numId w:val="23"/>
        </w:numPr>
        <w:ind w:left="1843" w:hanging="425"/>
        <w:jc w:val="both"/>
        <w:rPr>
          <w:lang w:eastAsia="sk-SK"/>
        </w:rPr>
      </w:pPr>
      <w:r>
        <w:rPr>
          <w:lang w:eastAsia="sk-SK"/>
        </w:rPr>
        <w:t>Žiadateľ ako verejný subjekt, musí preukázať prepojenie medzi realizovanými investíciami a potenciálom poľnohospodárskej pôdy;</w:t>
      </w:r>
    </w:p>
    <w:p w:rsidR="00B2780C" w:rsidRPr="003F6576" w:rsidRDefault="003F6576" w:rsidP="003F6576">
      <w:pPr>
        <w:pStyle w:val="Odsekzoznamu"/>
        <w:numPr>
          <w:ilvl w:val="0"/>
          <w:numId w:val="23"/>
        </w:numPr>
        <w:ind w:left="1843" w:hanging="425"/>
        <w:jc w:val="both"/>
        <w:rPr>
          <w:lang w:eastAsia="sk-SK"/>
        </w:rPr>
      </w:pPr>
      <w:r>
        <w:rPr>
          <w:lang w:eastAsia="sk-SK"/>
        </w:rPr>
        <w:t xml:space="preserve">Technická rekonštrukcia kanála nebude v rozpore so záujmami ochrany prírody a krajiny (tzn. nenaruší evidované </w:t>
      </w:r>
      <w:proofErr w:type="spellStart"/>
      <w:r>
        <w:rPr>
          <w:lang w:eastAsia="sk-SK"/>
        </w:rPr>
        <w:t>mokraďné</w:t>
      </w:r>
      <w:proofErr w:type="spellEnd"/>
      <w:r>
        <w:rPr>
          <w:lang w:eastAsia="sk-SK"/>
        </w:rPr>
        <w:t xml:space="preserve"> a iné ekosystémy a pod.);</w:t>
      </w:r>
    </w:p>
    <w:p w:rsidR="003F6576" w:rsidRPr="003F6576" w:rsidRDefault="003F6576" w:rsidP="003F6576">
      <w:pPr>
        <w:pStyle w:val="Odsekzoznamu"/>
        <w:numPr>
          <w:ilvl w:val="0"/>
          <w:numId w:val="23"/>
        </w:numPr>
        <w:ind w:left="1843" w:hanging="425"/>
        <w:jc w:val="both"/>
        <w:rPr>
          <w:lang w:eastAsia="sk-SK"/>
        </w:rPr>
      </w:pPr>
      <w:r>
        <w:rPr>
          <w:lang w:eastAsia="sk-SK"/>
        </w:rPr>
        <w:t>Komplexnosť projektu vrátane zabezpečenia odstránenia kalu;</w:t>
      </w:r>
    </w:p>
    <w:p w:rsidR="003F6576" w:rsidRPr="003F6576" w:rsidRDefault="003F6576" w:rsidP="003F6576">
      <w:pPr>
        <w:pStyle w:val="Odsekzoznamu"/>
        <w:numPr>
          <w:ilvl w:val="0"/>
          <w:numId w:val="23"/>
        </w:numPr>
        <w:ind w:left="1843" w:hanging="425"/>
        <w:jc w:val="both"/>
        <w:rPr>
          <w:lang w:eastAsia="sk-SK"/>
        </w:rPr>
      </w:pPr>
      <w:r>
        <w:rPr>
          <w:lang w:eastAsia="sk-SK"/>
        </w:rPr>
        <w:t>Podmienky povinne vyplývajúce zo zákona č. 543/2002 Z .z. o ochrane prírody a krajiny;</w:t>
      </w:r>
    </w:p>
    <w:p w:rsidR="003F6576" w:rsidRDefault="003F6576" w:rsidP="003F6576">
      <w:pPr>
        <w:pStyle w:val="Odsekzoznamu"/>
        <w:numPr>
          <w:ilvl w:val="0"/>
          <w:numId w:val="23"/>
        </w:numPr>
        <w:ind w:left="1843" w:hanging="425"/>
        <w:jc w:val="both"/>
        <w:rPr>
          <w:lang w:eastAsia="sk-SK"/>
        </w:rPr>
      </w:pPr>
      <w:r>
        <w:rPr>
          <w:lang w:eastAsia="sk-SK"/>
        </w:rPr>
        <w:t xml:space="preserve">Dodržanie podmienok povinne vyplývajúcich z Rámcovej smernice o vodách  a zo zákona č.364/2004 </w:t>
      </w:r>
      <w:proofErr w:type="spellStart"/>
      <w:r>
        <w:rPr>
          <w:lang w:eastAsia="sk-SK"/>
        </w:rPr>
        <w:t>Z.z</w:t>
      </w:r>
      <w:proofErr w:type="spellEnd"/>
      <w:r>
        <w:rPr>
          <w:lang w:eastAsia="sk-SK"/>
        </w:rPr>
        <w:t>. o vodách;</w:t>
      </w:r>
    </w:p>
    <w:p w:rsidR="008B0740" w:rsidRPr="0000037D" w:rsidRDefault="008B0740" w:rsidP="003F6576">
      <w:pPr>
        <w:pStyle w:val="Odsekzoznamu"/>
        <w:numPr>
          <w:ilvl w:val="0"/>
          <w:numId w:val="23"/>
        </w:numPr>
        <w:ind w:left="1843" w:hanging="425"/>
        <w:jc w:val="both"/>
        <w:rPr>
          <w:lang w:eastAsia="sk-SK"/>
        </w:rPr>
      </w:pPr>
      <w:r w:rsidRPr="0000037D">
        <w:rPr>
          <w:bCs/>
          <w:lang w:eastAsia="sk-SK"/>
        </w:rPr>
        <w:t>Oprávnenosť výdavkov je podmienená schváleným verejným obstarávaním.</w:t>
      </w:r>
    </w:p>
    <w:p w:rsidR="003F6576" w:rsidRPr="007567CB" w:rsidRDefault="003F6576" w:rsidP="003F6576">
      <w:pPr>
        <w:pStyle w:val="Odsekzoznamu"/>
        <w:ind w:left="709"/>
        <w:jc w:val="both"/>
        <w:rPr>
          <w:bCs/>
        </w:rPr>
      </w:pPr>
    </w:p>
    <w:p w:rsidR="00B2780C" w:rsidRPr="007567CB" w:rsidRDefault="00B2780C" w:rsidP="00B2780C">
      <w:pPr>
        <w:pStyle w:val="Odsekzoznamu"/>
        <w:rPr>
          <w:bCs/>
        </w:rPr>
      </w:pPr>
    </w:p>
    <w:p w:rsidR="00B2780C" w:rsidRPr="007567CB" w:rsidRDefault="00B2780C" w:rsidP="003A252D">
      <w:pPr>
        <w:pStyle w:val="Odsekzoznamu"/>
        <w:numPr>
          <w:ilvl w:val="2"/>
          <w:numId w:val="10"/>
        </w:numPr>
        <w:tabs>
          <w:tab w:val="left" w:pos="289"/>
        </w:tabs>
        <w:spacing w:line="280" w:lineRule="exact"/>
        <w:ind w:hanging="311"/>
        <w:jc w:val="both"/>
        <w:rPr>
          <w:b/>
        </w:rPr>
      </w:pPr>
      <w:r w:rsidRPr="007567CB">
        <w:rPr>
          <w:b/>
        </w:rPr>
        <w:t>Neoprávnené výdavky:</w:t>
      </w:r>
    </w:p>
    <w:p w:rsidR="00B2780C" w:rsidRPr="007567CB" w:rsidRDefault="00B2780C" w:rsidP="00B2780C">
      <w:pPr>
        <w:tabs>
          <w:tab w:val="left" w:pos="709"/>
          <w:tab w:val="left" w:pos="851"/>
        </w:tabs>
        <w:suppressAutoHyphens w:val="0"/>
        <w:ind w:left="1418"/>
        <w:contextualSpacing/>
        <w:jc w:val="both"/>
        <w:rPr>
          <w:lang w:eastAsia="sk-SK"/>
        </w:rPr>
      </w:pPr>
    </w:p>
    <w:p w:rsidR="00B2780C" w:rsidRPr="005A448E" w:rsidRDefault="00B2780C" w:rsidP="00AA1B27">
      <w:pPr>
        <w:numPr>
          <w:ilvl w:val="3"/>
          <w:numId w:val="7"/>
        </w:numPr>
        <w:ind w:left="1843" w:hanging="425"/>
        <w:contextualSpacing/>
        <w:jc w:val="both"/>
        <w:rPr>
          <w:b/>
          <w:bCs/>
          <w:sz w:val="28"/>
          <w:lang w:eastAsia="sk-SK"/>
        </w:rPr>
      </w:pPr>
      <w:r w:rsidRPr="005A448E">
        <w:rPr>
          <w:kern w:val="1"/>
          <w:szCs w:val="22"/>
        </w:rPr>
        <w:t xml:space="preserve">Výdavky vynaložené pred podaním </w:t>
      </w:r>
      <w:proofErr w:type="spellStart"/>
      <w:r w:rsidRPr="005A448E">
        <w:rPr>
          <w:kern w:val="1"/>
          <w:szCs w:val="22"/>
        </w:rPr>
        <w:t>ŽoNFP</w:t>
      </w:r>
      <w:proofErr w:type="spellEnd"/>
      <w:r w:rsidRPr="005A448E">
        <w:rPr>
          <w:kern w:val="1"/>
          <w:szCs w:val="22"/>
        </w:rPr>
        <w:t xml:space="preserve"> na PPA (v tomto prípade sa celý projekt považuje za neoprávnený) s výnimkou začatia procesu obstar</w:t>
      </w:r>
      <w:r w:rsidR="00E96A92" w:rsidRPr="005A448E">
        <w:rPr>
          <w:kern w:val="1"/>
          <w:szCs w:val="22"/>
        </w:rPr>
        <w:t>ávania tovarov, služieb a</w:t>
      </w:r>
      <w:r w:rsidR="00AC1D17">
        <w:rPr>
          <w:kern w:val="1"/>
          <w:szCs w:val="22"/>
        </w:rPr>
        <w:t> </w:t>
      </w:r>
      <w:r w:rsidR="00E96A92" w:rsidRPr="005A448E">
        <w:rPr>
          <w:kern w:val="1"/>
          <w:szCs w:val="22"/>
        </w:rPr>
        <w:t>prác</w:t>
      </w:r>
      <w:r w:rsidR="00AC1D17">
        <w:rPr>
          <w:kern w:val="1"/>
          <w:szCs w:val="22"/>
        </w:rPr>
        <w:t xml:space="preserve"> </w:t>
      </w:r>
      <w:r w:rsidRPr="005A448E">
        <w:rPr>
          <w:kern w:val="1"/>
          <w:szCs w:val="22"/>
        </w:rPr>
        <w:t>od 01.12.2014 a všeobecných výdavkov na prípravné práce, uvedených v bode 2.3.1, odst.2);</w:t>
      </w:r>
    </w:p>
    <w:p w:rsidR="00B2780C" w:rsidRPr="005A448E" w:rsidRDefault="00B2780C" w:rsidP="00AA1B27">
      <w:pPr>
        <w:numPr>
          <w:ilvl w:val="3"/>
          <w:numId w:val="7"/>
        </w:numPr>
        <w:ind w:left="1843" w:hanging="425"/>
        <w:contextualSpacing/>
        <w:jc w:val="both"/>
        <w:rPr>
          <w:kern w:val="1"/>
          <w:szCs w:val="22"/>
        </w:rPr>
      </w:pPr>
      <w:r w:rsidRPr="005A448E">
        <w:rPr>
          <w:kern w:val="1"/>
          <w:szCs w:val="22"/>
        </w:rPr>
        <w:t>Úroky z dlžných súm;</w:t>
      </w:r>
    </w:p>
    <w:p w:rsidR="00B2780C" w:rsidRPr="005A448E" w:rsidRDefault="00B2780C" w:rsidP="00AA1B27">
      <w:pPr>
        <w:numPr>
          <w:ilvl w:val="3"/>
          <w:numId w:val="7"/>
        </w:numPr>
        <w:ind w:left="1843" w:hanging="425"/>
        <w:contextualSpacing/>
        <w:jc w:val="both"/>
        <w:rPr>
          <w:kern w:val="1"/>
          <w:szCs w:val="22"/>
        </w:rPr>
      </w:pPr>
      <w:r w:rsidRPr="005A448E">
        <w:rPr>
          <w:kern w:val="1"/>
          <w:szCs w:val="22"/>
        </w:rPr>
        <w:t>Kúpa nezastavaného a zastavaného pozemku;</w:t>
      </w:r>
    </w:p>
    <w:p w:rsidR="00B2780C" w:rsidRPr="005A448E" w:rsidRDefault="00B2780C" w:rsidP="00AA1B27">
      <w:pPr>
        <w:numPr>
          <w:ilvl w:val="3"/>
          <w:numId w:val="7"/>
        </w:numPr>
        <w:tabs>
          <w:tab w:val="left" w:pos="2977"/>
        </w:tabs>
        <w:ind w:left="1843" w:hanging="425"/>
        <w:contextualSpacing/>
        <w:jc w:val="both"/>
        <w:rPr>
          <w:b/>
          <w:bCs/>
          <w:lang w:eastAsia="sk-SK"/>
        </w:rPr>
      </w:pPr>
      <w:r w:rsidRPr="007567CB">
        <w:rPr>
          <w:bCs/>
          <w:lang w:eastAsia="sk-SK"/>
        </w:rPr>
        <w:t>DPH s výnimkou prípadov, keď nie je vymáhateľná podľa vnútroštátnych právnych predpisov o DPH; V rámci uplatnenia DPH ako oprávneného výdavku je na webovom sídle zverejnené Usmernenie PPA č. 1/2015</w:t>
      </w:r>
      <w:r w:rsidRPr="007567CB">
        <w:rPr>
          <w:b/>
          <w:bCs/>
          <w:lang w:eastAsia="sk-SK"/>
        </w:rPr>
        <w:t xml:space="preserve"> </w:t>
      </w:r>
      <w:r w:rsidRPr="007567CB">
        <w:rPr>
          <w:bCs/>
          <w:lang w:eastAsia="sk-SK"/>
        </w:rPr>
        <w:t xml:space="preserve">  (</w:t>
      </w:r>
      <w:hyperlink r:id="rId12" w:history="1">
        <w:r w:rsidRPr="007567CB">
          <w:rPr>
            <w:rStyle w:val="Hypertextovprepojenie"/>
            <w:rFonts w:ascii="Times New Roman" w:hAnsi="Times New Roman"/>
            <w:bCs/>
            <w:sz w:val="24"/>
            <w:lang w:eastAsia="sk-SK"/>
          </w:rPr>
          <w:t>http://www.apa.sk/index.php?navID=529&amp;id=6858</w:t>
        </w:r>
      </w:hyperlink>
      <w:r w:rsidRPr="007567CB">
        <w:rPr>
          <w:bCs/>
          <w:lang w:eastAsia="sk-SK"/>
        </w:rPr>
        <w:t xml:space="preserve"> )</w:t>
      </w:r>
    </w:p>
    <w:p w:rsidR="00B2780C" w:rsidRDefault="005A448E" w:rsidP="005A448E">
      <w:pPr>
        <w:numPr>
          <w:ilvl w:val="3"/>
          <w:numId w:val="7"/>
        </w:numPr>
        <w:ind w:left="1843" w:hanging="425"/>
        <w:contextualSpacing/>
        <w:jc w:val="both"/>
        <w:rPr>
          <w:kern w:val="1"/>
          <w:szCs w:val="22"/>
        </w:rPr>
      </w:pPr>
      <w:r w:rsidRPr="005A448E">
        <w:rPr>
          <w:kern w:val="1"/>
          <w:szCs w:val="22"/>
        </w:rPr>
        <w:t>Náhrady za stratu príjmov v dôsledku prírodnej katastrofy alebo katastrofickej udalosti</w:t>
      </w:r>
    </w:p>
    <w:p w:rsidR="005A448E" w:rsidRDefault="005A448E" w:rsidP="005A448E">
      <w:pPr>
        <w:numPr>
          <w:ilvl w:val="3"/>
          <w:numId w:val="7"/>
        </w:numPr>
        <w:ind w:left="1843" w:hanging="425"/>
        <w:contextualSpacing/>
        <w:jc w:val="both"/>
        <w:rPr>
          <w:kern w:val="1"/>
          <w:szCs w:val="22"/>
        </w:rPr>
      </w:pPr>
      <w:r w:rsidRPr="005A448E">
        <w:rPr>
          <w:kern w:val="1"/>
          <w:szCs w:val="22"/>
        </w:rPr>
        <w:t>Kúpa poľnohospodárskych práv, platobných nárokov, jednor</w:t>
      </w:r>
      <w:r>
        <w:rPr>
          <w:kern w:val="1"/>
          <w:szCs w:val="22"/>
        </w:rPr>
        <w:t>očných rastlín a ich pestovanie</w:t>
      </w:r>
    </w:p>
    <w:p w:rsidR="005A448E" w:rsidRPr="005A448E" w:rsidRDefault="005A448E" w:rsidP="005A448E">
      <w:pPr>
        <w:numPr>
          <w:ilvl w:val="3"/>
          <w:numId w:val="7"/>
        </w:numPr>
        <w:ind w:left="1843" w:hanging="425"/>
        <w:contextualSpacing/>
        <w:jc w:val="both"/>
        <w:rPr>
          <w:kern w:val="1"/>
          <w:szCs w:val="22"/>
        </w:rPr>
      </w:pPr>
      <w:r w:rsidRPr="005A448E">
        <w:rPr>
          <w:kern w:val="1"/>
          <w:szCs w:val="22"/>
        </w:rPr>
        <w:t>Náklady na bežnú údržbu</w:t>
      </w:r>
    </w:p>
    <w:p w:rsidR="00B2780C" w:rsidRPr="007567CB" w:rsidRDefault="00B2780C" w:rsidP="00B2780C">
      <w:pPr>
        <w:tabs>
          <w:tab w:val="left" w:pos="709"/>
          <w:tab w:val="left" w:pos="2977"/>
        </w:tabs>
        <w:ind w:left="709"/>
        <w:contextualSpacing/>
        <w:jc w:val="both"/>
        <w:rPr>
          <w:b/>
          <w:bCs/>
          <w:lang w:eastAsia="sk-SK"/>
        </w:rPr>
      </w:pPr>
    </w:p>
    <w:p w:rsidR="00B2780C" w:rsidRPr="007567CB" w:rsidRDefault="00B2780C" w:rsidP="00AA1B27">
      <w:pPr>
        <w:numPr>
          <w:ilvl w:val="1"/>
          <w:numId w:val="6"/>
        </w:numPr>
        <w:tabs>
          <w:tab w:val="clear" w:pos="0"/>
          <w:tab w:val="left" w:pos="289"/>
        </w:tabs>
        <w:spacing w:line="280" w:lineRule="exact"/>
        <w:ind w:left="567" w:hanging="283"/>
        <w:jc w:val="both"/>
        <w:rPr>
          <w:b/>
        </w:rPr>
      </w:pPr>
      <w:r w:rsidRPr="007567CB">
        <w:rPr>
          <w:b/>
        </w:rPr>
        <w:t xml:space="preserve">Oprávnenosť miesta realizácie projektu </w:t>
      </w:r>
    </w:p>
    <w:p w:rsidR="00B2780C" w:rsidRPr="007567CB" w:rsidRDefault="00B2780C" w:rsidP="00B2780C">
      <w:pPr>
        <w:tabs>
          <w:tab w:val="left" w:pos="289"/>
        </w:tabs>
        <w:spacing w:line="280" w:lineRule="exact"/>
        <w:ind w:left="567"/>
        <w:jc w:val="both"/>
        <w:rPr>
          <w:lang w:eastAsia="sk-SK"/>
        </w:rPr>
      </w:pPr>
    </w:p>
    <w:p w:rsidR="00B2780C" w:rsidRPr="007567CB" w:rsidRDefault="00B2780C" w:rsidP="00AA1B27">
      <w:pPr>
        <w:ind w:left="709"/>
        <w:jc w:val="both"/>
        <w:rPr>
          <w:lang w:eastAsia="sk-SK"/>
        </w:rPr>
      </w:pPr>
      <w:r w:rsidRPr="007567CB">
        <w:rPr>
          <w:lang w:eastAsia="sk-SK"/>
        </w:rPr>
        <w:t>Celé územie Slovenska (NUTS I) – v súlade s podmienkami uvedenými v bode 2.5 Kritériá pre výber projektov, ktoré je rozdelené na menej rozvinuté regióny (mimo Bratislavského kraja) a ostatné regióny (Bratislavský kraj).</w:t>
      </w:r>
    </w:p>
    <w:p w:rsidR="00B2780C" w:rsidRPr="007567CB" w:rsidRDefault="00B2780C" w:rsidP="00B2780C">
      <w:pPr>
        <w:tabs>
          <w:tab w:val="left" w:pos="289"/>
          <w:tab w:val="left" w:pos="536"/>
          <w:tab w:val="left" w:pos="846"/>
        </w:tabs>
        <w:spacing w:line="280" w:lineRule="exact"/>
        <w:ind w:left="1701"/>
        <w:rPr>
          <w:b/>
          <w:bCs/>
          <w:i/>
        </w:rPr>
      </w:pPr>
    </w:p>
    <w:p w:rsidR="00B2780C" w:rsidRPr="007567CB" w:rsidRDefault="00B2780C" w:rsidP="00E65F0D">
      <w:pPr>
        <w:numPr>
          <w:ilvl w:val="1"/>
          <w:numId w:val="6"/>
        </w:numPr>
        <w:tabs>
          <w:tab w:val="left" w:pos="289"/>
        </w:tabs>
        <w:spacing w:line="280" w:lineRule="exact"/>
        <w:ind w:left="567" w:hanging="283"/>
        <w:jc w:val="both"/>
        <w:rPr>
          <w:b/>
        </w:rPr>
      </w:pPr>
      <w:r w:rsidRPr="007567CB">
        <w:rPr>
          <w:b/>
        </w:rPr>
        <w:t xml:space="preserve"> Kritériá pre výber projektov </w:t>
      </w:r>
    </w:p>
    <w:p w:rsidR="00B2780C" w:rsidRPr="007567CB" w:rsidRDefault="00B2780C" w:rsidP="00B2780C">
      <w:pPr>
        <w:tabs>
          <w:tab w:val="left" w:pos="289"/>
        </w:tabs>
        <w:spacing w:line="280" w:lineRule="exact"/>
        <w:ind w:left="567"/>
        <w:jc w:val="both"/>
        <w:rPr>
          <w:b/>
        </w:rPr>
      </w:pPr>
    </w:p>
    <w:p w:rsidR="00B2780C" w:rsidRPr="007567CB" w:rsidRDefault="00B2780C" w:rsidP="00E65F0D">
      <w:pPr>
        <w:pStyle w:val="Odsekzoznamu"/>
        <w:numPr>
          <w:ilvl w:val="2"/>
          <w:numId w:val="11"/>
        </w:numPr>
        <w:tabs>
          <w:tab w:val="left" w:pos="709"/>
        </w:tabs>
        <w:spacing w:line="280" w:lineRule="exact"/>
        <w:ind w:left="1134" w:hanging="425"/>
        <w:jc w:val="both"/>
        <w:rPr>
          <w:b/>
        </w:rPr>
      </w:pPr>
      <w:r w:rsidRPr="007567CB">
        <w:rPr>
          <w:b/>
        </w:rPr>
        <w:t>Všeobecné kritériá poskytnutia príspevku:</w:t>
      </w:r>
    </w:p>
    <w:p w:rsidR="00B2780C" w:rsidRPr="007567CB" w:rsidRDefault="00B2780C" w:rsidP="00B2780C">
      <w:pPr>
        <w:tabs>
          <w:tab w:val="left" w:pos="289"/>
        </w:tabs>
        <w:spacing w:line="280" w:lineRule="exact"/>
        <w:ind w:left="567"/>
        <w:jc w:val="both"/>
        <w:rPr>
          <w:b/>
        </w:rPr>
      </w:pPr>
    </w:p>
    <w:p w:rsidR="00B2780C" w:rsidRPr="007567CB" w:rsidRDefault="00DF7381" w:rsidP="00983D5D">
      <w:pPr>
        <w:numPr>
          <w:ilvl w:val="3"/>
          <w:numId w:val="26"/>
        </w:numPr>
        <w:ind w:left="1843" w:hanging="425"/>
        <w:jc w:val="both"/>
        <w:rPr>
          <w:b/>
          <w:lang w:eastAsia="sk-SK"/>
        </w:rPr>
      </w:pPr>
      <w:r w:rsidRPr="00DF7381">
        <w:rPr>
          <w:b/>
          <w:lang w:eastAsia="sk-SK"/>
        </w:rPr>
        <w:t>Investície sa musia realizovať na území Slovenska, v prípade prístupu LEADER/CLLD na území príslušnej MAS</w:t>
      </w:r>
    </w:p>
    <w:p w:rsidR="00B2780C" w:rsidRPr="007567CB" w:rsidRDefault="00DF7381" w:rsidP="00983D5D">
      <w:pPr>
        <w:pStyle w:val="Odsekzoznamu"/>
        <w:ind w:left="1843"/>
        <w:jc w:val="both"/>
      </w:pPr>
      <w:r w:rsidRPr="00DF7381">
        <w:t xml:space="preserve">Nehnuteľnosti, ktoré sú predmetom projektu sa musia nachádzať na území SR, resp. príslušnej MAS, hnuteľné veci, ktoré sú predmetom projektu – stroje, technológie a pod. sa musia využívať na území SR resp. príslušnej </w:t>
      </w:r>
      <w:r w:rsidRPr="00DF7381">
        <w:lastRenderedPageBreak/>
        <w:t>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B2780C" w:rsidRPr="007567CB" w:rsidRDefault="00DF7381" w:rsidP="00983D5D">
      <w:pPr>
        <w:numPr>
          <w:ilvl w:val="3"/>
          <w:numId w:val="26"/>
        </w:numPr>
        <w:ind w:left="1843" w:hanging="425"/>
        <w:jc w:val="both"/>
        <w:rPr>
          <w:i/>
        </w:rPr>
      </w:pPr>
      <w:r w:rsidRPr="00DF7381">
        <w:rPr>
          <w:b/>
        </w:rPr>
        <w:t>Žiadateľ nemá evidované nedoplatky poistného na zdravotné poistenie, sociálne poistenie a príspevkov na starobné dôchodkové poistenie</w:t>
      </w:r>
    </w:p>
    <w:p w:rsidR="00B2780C" w:rsidRPr="007567CB" w:rsidRDefault="00DF7381" w:rsidP="00983D5D">
      <w:pPr>
        <w:pStyle w:val="Odsekzoznamu"/>
        <w:ind w:left="1843"/>
        <w:jc w:val="both"/>
        <w:rPr>
          <w:i/>
        </w:rPr>
      </w:pPr>
      <w:r w:rsidRPr="00DF7381">
        <w:t>§ 8a  ods. 4 zákona č. 523/2004 Z. z. o rozpočtových pravidlách verejnej správy a o zmene a doplnení niektorých zákonov v znení neskorších predpisov. Splátkový kalendár potvrdený veriteľom sa akceptuje.</w:t>
      </w:r>
    </w:p>
    <w:p w:rsidR="00B2780C" w:rsidRPr="007567CB" w:rsidRDefault="00DF7381" w:rsidP="00DB0A37">
      <w:pPr>
        <w:numPr>
          <w:ilvl w:val="3"/>
          <w:numId w:val="26"/>
        </w:numPr>
        <w:ind w:left="1843" w:hanging="425"/>
        <w:jc w:val="both"/>
        <w:rPr>
          <w:i/>
        </w:rPr>
      </w:pPr>
      <w:r w:rsidRPr="00DF7381">
        <w:rPr>
          <w:b/>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00B2780C" w:rsidRPr="007567CB">
        <w:rPr>
          <w:b/>
        </w:rPr>
        <w:t xml:space="preserve"> </w:t>
      </w:r>
    </w:p>
    <w:p w:rsidR="00B2780C" w:rsidRPr="007567CB" w:rsidRDefault="00DF7381" w:rsidP="00DB0A37">
      <w:pPr>
        <w:pStyle w:val="Odsekzoznamu"/>
        <w:ind w:left="1843"/>
        <w:jc w:val="both"/>
        <w:rPr>
          <w:i/>
        </w:rPr>
      </w:pPr>
      <w:r w:rsidRPr="00DF7381">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2780C" w:rsidRPr="007567CB" w:rsidRDefault="00DF7381" w:rsidP="00DB0A37">
      <w:pPr>
        <w:numPr>
          <w:ilvl w:val="3"/>
          <w:numId w:val="26"/>
        </w:numPr>
        <w:ind w:left="1843" w:hanging="425"/>
        <w:jc w:val="both"/>
        <w:rPr>
          <w:i/>
        </w:rPr>
      </w:pPr>
      <w:r w:rsidRPr="00DF7381">
        <w:rPr>
          <w:b/>
        </w:rPr>
        <w:t xml:space="preserve">Žiadateľ má </w:t>
      </w:r>
      <w:proofErr w:type="spellStart"/>
      <w:r w:rsidRPr="00DF7381">
        <w:rPr>
          <w:b/>
        </w:rPr>
        <w:t>vysporiadané</w:t>
      </w:r>
      <w:proofErr w:type="spellEnd"/>
      <w:r w:rsidRPr="00DF7381">
        <w:rPr>
          <w:b/>
        </w:rPr>
        <w:t xml:space="preserve"> finančné vzťahy so štátnym rozpočtom po lehote splatnosti, a  nie je voči nemu vedený výkon rozhodnutia</w:t>
      </w:r>
      <w:r w:rsidRPr="00DF7381">
        <w:rPr>
          <w:b/>
          <w:i/>
        </w:rPr>
        <w:t>.</w:t>
      </w:r>
    </w:p>
    <w:p w:rsidR="00B2780C" w:rsidRPr="007567CB" w:rsidRDefault="00DF7381" w:rsidP="00DB0A37">
      <w:pPr>
        <w:pStyle w:val="Odsekzoznamu"/>
        <w:ind w:left="1843"/>
        <w:jc w:val="both"/>
        <w:rPr>
          <w:i/>
        </w:rPr>
      </w:pPr>
      <w:r w:rsidRPr="00DF7381">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2780C" w:rsidRPr="007567CB" w:rsidRDefault="00DF7381" w:rsidP="00DB0A37">
      <w:pPr>
        <w:pStyle w:val="Odsekzoznamu"/>
        <w:ind w:left="1843"/>
        <w:jc w:val="both"/>
      </w:pPr>
      <w:r w:rsidRPr="00DF7381">
        <w:t>Podmienka sa netýka výkonu rozhodnutia voči členom riadiacich a dozorných orgánov žiadateľa, ale je relevantná vo vzťahu k subjektu žiadateľa.</w:t>
      </w:r>
    </w:p>
    <w:p w:rsidR="00B2780C" w:rsidRPr="007567CB" w:rsidRDefault="00DF7381" w:rsidP="00DB0A37">
      <w:pPr>
        <w:numPr>
          <w:ilvl w:val="3"/>
          <w:numId w:val="26"/>
        </w:numPr>
        <w:ind w:left="1843" w:hanging="425"/>
        <w:jc w:val="both"/>
        <w:rPr>
          <w:i/>
          <w:lang w:eastAsia="sk-SK"/>
        </w:rPr>
      </w:pPr>
      <w:r w:rsidRPr="00DF7381">
        <w:rPr>
          <w:b/>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B2780C" w:rsidRPr="007567CB" w:rsidRDefault="00DF7381" w:rsidP="00DB0A37">
      <w:pPr>
        <w:pStyle w:val="Odsekzoznamu"/>
        <w:ind w:left="1843"/>
        <w:jc w:val="both"/>
        <w:rPr>
          <w:i/>
        </w:rPr>
      </w:pPr>
      <w:r w:rsidRPr="00DF7381">
        <w:t>V priebehu trvania zmluvy o poskytnutí NFP táto skutočnosť podlieha oznamovacej povinnosti prijímateľa voči poskytovateľovi.</w:t>
      </w:r>
    </w:p>
    <w:p w:rsidR="00B2780C" w:rsidRPr="007567CB" w:rsidRDefault="00DF7381" w:rsidP="00DB0A37">
      <w:pPr>
        <w:pStyle w:val="Odsekzoznamu"/>
        <w:ind w:left="1843"/>
        <w:jc w:val="both"/>
      </w:pPr>
      <w:r w:rsidRPr="00DF7381">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B2780C" w:rsidRPr="007567CB" w:rsidRDefault="00DF7381" w:rsidP="00DB0A37">
      <w:pPr>
        <w:numPr>
          <w:ilvl w:val="3"/>
          <w:numId w:val="26"/>
        </w:numPr>
        <w:ind w:left="1843" w:hanging="425"/>
        <w:jc w:val="both"/>
        <w:rPr>
          <w:lang w:eastAsia="sk-SK"/>
        </w:rPr>
      </w:pPr>
      <w:r w:rsidRPr="00DF7381">
        <w:rPr>
          <w:b/>
        </w:rPr>
        <w:lastRenderedPageBreak/>
        <w:t>Každá investičná operácia, ak sa na ňu vzťahuje zákon č. 24/2006 Z. z. o posudzovaní vplyvov na životné prostredie, musí byť vopred posúdená na základe tohto zákona.</w:t>
      </w:r>
    </w:p>
    <w:p w:rsidR="00B2780C" w:rsidRPr="007567CB" w:rsidRDefault="00DF7381" w:rsidP="00DB0A37">
      <w:pPr>
        <w:pStyle w:val="Odsekzoznamu"/>
        <w:ind w:left="1843"/>
        <w:jc w:val="both"/>
        <w:rPr>
          <w:lang w:eastAsia="sk-SK"/>
        </w:rPr>
      </w:pPr>
      <w:r w:rsidRPr="00DF7381">
        <w:t>Čl. 45 ods. 1 nariadenia Európskeho parlamentu a Rady (EÚ) č. 1305/2013 o podpore rozvoja vidieka prostredníctvom Európskeho poľnohospodárskeho fondu pre rozvoj vidieka (EPFRV) a o zrušení nariadenia Rady (ES) č. 1698/2005).</w:t>
      </w:r>
      <w:r w:rsidRPr="00DF7381">
        <w:rPr>
          <w:i/>
        </w:rPr>
        <w:t xml:space="preserve"> </w:t>
      </w:r>
      <w:r w:rsidRPr="00E96A92">
        <w:rPr>
          <w:i/>
        </w:rPr>
        <w:t xml:space="preserve">Pri </w:t>
      </w:r>
      <w:proofErr w:type="spellStart"/>
      <w:r w:rsidRPr="00E96A92">
        <w:rPr>
          <w:i/>
        </w:rPr>
        <w:t>ŽoNFP</w:t>
      </w:r>
      <w:proofErr w:type="spellEnd"/>
      <w:r w:rsidRPr="00E96A92">
        <w:rPr>
          <w:i/>
        </w:rPr>
        <w:t xml:space="preserve"> sa predkladá len stanovisko či  podlieha posudzovaniu.</w:t>
      </w:r>
    </w:p>
    <w:p w:rsidR="00B2780C" w:rsidRPr="007567CB" w:rsidRDefault="00DF7381" w:rsidP="00DB0A37">
      <w:pPr>
        <w:numPr>
          <w:ilvl w:val="3"/>
          <w:numId w:val="26"/>
        </w:numPr>
        <w:ind w:left="1843" w:hanging="425"/>
        <w:jc w:val="both"/>
        <w:rPr>
          <w:lang w:eastAsia="sk-SK"/>
        </w:rPr>
      </w:pPr>
      <w:r w:rsidRPr="00DF7381">
        <w:rPr>
          <w:b/>
        </w:rPr>
        <w:t>Žiadateľ musí postupovať pri obstarávaní tovarov, stavebných prác a služieb, ktoré sú financované z verejných prostriedkov, v súlade so zákonom č. 25/2006 Z. z. v znení neskorších predpisov.</w:t>
      </w:r>
      <w:r w:rsidR="00B2780C" w:rsidRPr="007567CB">
        <w:rPr>
          <w:b/>
        </w:rPr>
        <w:t xml:space="preserve"> </w:t>
      </w:r>
    </w:p>
    <w:p w:rsidR="00B2780C" w:rsidRPr="007567CB" w:rsidRDefault="00DF7381" w:rsidP="00DB0A37">
      <w:pPr>
        <w:pStyle w:val="Odsekzoznamu"/>
        <w:ind w:left="1843"/>
        <w:jc w:val="both"/>
      </w:pPr>
      <w:r w:rsidRPr="00DF7381">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B2780C" w:rsidRPr="007567CB" w:rsidRDefault="00DF7381" w:rsidP="00DB0A37">
      <w:pPr>
        <w:numPr>
          <w:ilvl w:val="3"/>
          <w:numId w:val="26"/>
        </w:numPr>
        <w:ind w:left="1843" w:hanging="425"/>
        <w:jc w:val="both"/>
        <w:rPr>
          <w:lang w:eastAsia="sk-SK"/>
        </w:rPr>
      </w:pPr>
      <w:r w:rsidRPr="00DF7381">
        <w:rPr>
          <w:b/>
        </w:rPr>
        <w:t>Žiadateľ musí zabezpečiť hospodárnosť, efektívnosť a účinnosť použitia verejných prostriedkov.</w:t>
      </w:r>
    </w:p>
    <w:p w:rsidR="00B2780C" w:rsidRPr="007567CB" w:rsidRDefault="00DF7381" w:rsidP="00DB0A37">
      <w:pPr>
        <w:pStyle w:val="Odsekzoznamu"/>
        <w:ind w:left="1843"/>
        <w:jc w:val="both"/>
        <w:rPr>
          <w:lang w:eastAsia="sk-SK"/>
        </w:rPr>
      </w:pPr>
      <w:r w:rsidRPr="00DF7381">
        <w:t>§ 19 ods. 3 zákona č. 523/2004 Z. z. o rozpočtových pravidlách verejnej správy a o zmene a doplnení niektorých zákonov v znení neskorších predpisov. Nepreukazuje sa pri paušálnych platbách.</w:t>
      </w:r>
    </w:p>
    <w:p w:rsidR="00B2780C" w:rsidRPr="007567CB" w:rsidRDefault="00DF7381" w:rsidP="00DB0A37">
      <w:pPr>
        <w:numPr>
          <w:ilvl w:val="3"/>
          <w:numId w:val="26"/>
        </w:numPr>
        <w:ind w:left="1843" w:hanging="425"/>
        <w:jc w:val="both"/>
        <w:rPr>
          <w:lang w:eastAsia="sk-SK"/>
        </w:rPr>
      </w:pPr>
      <w:r w:rsidRPr="00DF7381">
        <w:rPr>
          <w:b/>
        </w:rPr>
        <w:t>Žiadateľ musí dodržiavať princíp zákazu konfliktu záujmov v súlade so zákonom č. 292/2014 Z. z. o príspevku poskytovanom z európskych štrukturálnych a investičných fondov a o zmene a doplnení niektorých zákonov.</w:t>
      </w:r>
      <w:r w:rsidR="00B2780C" w:rsidRPr="007567CB">
        <w:rPr>
          <w:b/>
        </w:rPr>
        <w:t xml:space="preserve"> </w:t>
      </w:r>
    </w:p>
    <w:p w:rsidR="00B2780C" w:rsidRPr="007567CB" w:rsidRDefault="00DF7381" w:rsidP="00DB0A37">
      <w:pPr>
        <w:pStyle w:val="Odsekzoznamu"/>
        <w:ind w:left="1843"/>
        <w:jc w:val="both"/>
        <w:rPr>
          <w:lang w:eastAsia="sk-SK"/>
        </w:rPr>
      </w:pPr>
      <w:r w:rsidRPr="00DF7381">
        <w:t>§ 46 zákona č. 292/2014 Z. z. o príspevku poskytovanom z európskych štrukturálnych a investičných fondov a o zmene a doplnení niektorých zákonov.</w:t>
      </w:r>
    </w:p>
    <w:p w:rsidR="00B2780C" w:rsidRPr="007567CB" w:rsidRDefault="00DF7381" w:rsidP="00DB0A37">
      <w:pPr>
        <w:numPr>
          <w:ilvl w:val="3"/>
          <w:numId w:val="26"/>
        </w:numPr>
        <w:tabs>
          <w:tab w:val="left" w:pos="709"/>
        </w:tabs>
        <w:ind w:left="1843" w:hanging="425"/>
        <w:jc w:val="both"/>
        <w:rPr>
          <w:i/>
          <w:lang w:eastAsia="sk-SK"/>
        </w:rPr>
      </w:pPr>
      <w:r w:rsidRPr="00DF7381">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r w:rsidR="00B2780C" w:rsidRPr="007567CB">
        <w:rPr>
          <w:b/>
        </w:rPr>
        <w:t xml:space="preserve"> </w:t>
      </w:r>
    </w:p>
    <w:p w:rsidR="00B2780C" w:rsidRPr="007567CB" w:rsidRDefault="00DF7381" w:rsidP="00DB0A37">
      <w:pPr>
        <w:pStyle w:val="Odsekzoznamu"/>
        <w:ind w:left="1843"/>
        <w:jc w:val="both"/>
        <w:rPr>
          <w:i/>
          <w:lang w:eastAsia="sk-SK"/>
        </w:rPr>
      </w:pPr>
      <w:r w:rsidRPr="00DF7381">
        <w:t>V priebehu trvania zmluvy o poskytnutí NFP táto skutočnosť podlieha oznamovacej povinnosti prijímateľa voči poskytovateľovi.</w:t>
      </w:r>
    </w:p>
    <w:p w:rsidR="00B2780C" w:rsidRPr="007567CB" w:rsidRDefault="00DF7381" w:rsidP="00DB0A37">
      <w:pPr>
        <w:numPr>
          <w:ilvl w:val="3"/>
          <w:numId w:val="26"/>
        </w:numPr>
        <w:ind w:left="1843" w:hanging="425"/>
        <w:jc w:val="both"/>
        <w:rPr>
          <w:lang w:eastAsia="sk-SK"/>
        </w:rPr>
      </w:pPr>
      <w:r w:rsidRPr="00DF7381">
        <w:rPr>
          <w:b/>
        </w:rPr>
        <w:t>Žiadateľ ani jeho štatutárny orgán, ani žiadny člen štatutárneho orgánu, ani prokurista/osoba splnomocnená zastupovať žiadateľa v konaní o </w:t>
      </w:r>
      <w:proofErr w:type="spellStart"/>
      <w:r w:rsidRPr="00DF7381">
        <w:rPr>
          <w:b/>
        </w:rPr>
        <w:t>ŽoNFP</w:t>
      </w:r>
      <w:proofErr w:type="spellEnd"/>
      <w:r w:rsidRPr="00DF7381">
        <w:rPr>
          <w:b/>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B2780C" w:rsidRDefault="00DF7381" w:rsidP="00DB0A37">
      <w:pPr>
        <w:pStyle w:val="Odsekzoznamu"/>
        <w:ind w:left="1843"/>
        <w:jc w:val="both"/>
      </w:pPr>
      <w:r w:rsidRPr="00DF7381">
        <w:t xml:space="preserve">Nariadenie Komisie (ES, </w:t>
      </w:r>
      <w:proofErr w:type="spellStart"/>
      <w:r w:rsidRPr="00DF7381">
        <w:t>Euratom</w:t>
      </w:r>
      <w:proofErr w:type="spellEnd"/>
      <w:r w:rsidRPr="00DF7381">
        <w:t>) č. 1302/2008 zo 17. decembra 2008 o centrálnej databáze vylúčených subjektov (ďalej len „Nariadenie o CED“).</w:t>
      </w:r>
    </w:p>
    <w:p w:rsidR="00DF7381" w:rsidRDefault="00DF7381" w:rsidP="006B6FC7">
      <w:pPr>
        <w:numPr>
          <w:ilvl w:val="3"/>
          <w:numId w:val="26"/>
        </w:numPr>
        <w:ind w:left="1843" w:hanging="425"/>
        <w:jc w:val="both"/>
        <w:rPr>
          <w:b/>
        </w:rPr>
      </w:pPr>
      <w:r w:rsidRPr="00DF7381">
        <w:rPr>
          <w:b/>
        </w:rPr>
        <w:t xml:space="preserve">V prípade, že sa na dané činnosti vzťahujú pravidlá štátnej pomoci resp. pomoci </w:t>
      </w:r>
      <w:proofErr w:type="spellStart"/>
      <w:r w:rsidRPr="00DF7381">
        <w:rPr>
          <w:b/>
        </w:rPr>
        <w:t>de</w:t>
      </w:r>
      <w:proofErr w:type="spellEnd"/>
      <w:r w:rsidRPr="00DF7381">
        <w:rPr>
          <w:b/>
        </w:rPr>
        <w:t xml:space="preserve"> </w:t>
      </w:r>
      <w:proofErr w:type="spellStart"/>
      <w:r w:rsidRPr="00DF7381">
        <w:rPr>
          <w:b/>
        </w:rPr>
        <w:t>minimis</w:t>
      </w:r>
      <w:proofErr w:type="spellEnd"/>
      <w:r w:rsidRPr="00DF7381">
        <w:rPr>
          <w:b/>
        </w:rPr>
        <w:t xml:space="preserve">, žiadateľ musí spĺňať podmienky vyplývajúce zo schém štátnej pomoci/pomoci </w:t>
      </w:r>
      <w:proofErr w:type="spellStart"/>
      <w:r w:rsidRPr="00DF7381">
        <w:rPr>
          <w:b/>
        </w:rPr>
        <w:t>de</w:t>
      </w:r>
      <w:proofErr w:type="spellEnd"/>
      <w:r w:rsidRPr="00DF7381">
        <w:rPr>
          <w:b/>
        </w:rPr>
        <w:t xml:space="preserve"> </w:t>
      </w:r>
      <w:proofErr w:type="spellStart"/>
      <w:r w:rsidRPr="00DF7381">
        <w:rPr>
          <w:b/>
        </w:rPr>
        <w:t>minimis</w:t>
      </w:r>
      <w:proofErr w:type="spellEnd"/>
      <w:r w:rsidRPr="00DF7381">
        <w:rPr>
          <w:b/>
        </w:rPr>
        <w:t>.</w:t>
      </w:r>
    </w:p>
    <w:p w:rsidR="00DF7381" w:rsidRPr="00DF7381" w:rsidRDefault="00DF7381" w:rsidP="006B6FC7">
      <w:pPr>
        <w:pStyle w:val="Odsekzoznamu"/>
        <w:ind w:left="1843"/>
        <w:jc w:val="both"/>
      </w:pPr>
      <w:r w:rsidRPr="00DF7381">
        <w:t xml:space="preserve">Nariadenie Komisie (EÚ) č. 702/2014, ktorým sa určité kategórie pomoci v odvetví poľnohospodárstva a lesného hospodárstva a vo vidieckych </w:t>
      </w:r>
      <w:r w:rsidRPr="00DF7381">
        <w:lastRenderedPageBreak/>
        <w:t xml:space="preserve">oblastiach vyhlasujú za zlučiteľné s vnútorným trhom pri uplatňovaní článkov 107 a 108 Zmluvy o fungovaní Európskej únie; nariadenie Komisie (EÚ) č. 1407/2013 o uplatňovaní článkov 107 a 108 Zmluvy o fungovaní Európskej únie na pomoc </w:t>
      </w:r>
      <w:proofErr w:type="spellStart"/>
      <w:r w:rsidRPr="00DF7381">
        <w:t>de</w:t>
      </w:r>
      <w:proofErr w:type="spellEnd"/>
      <w:r w:rsidRPr="00DF7381">
        <w:t xml:space="preserve"> </w:t>
      </w:r>
      <w:proofErr w:type="spellStart"/>
      <w:r w:rsidRPr="00DF7381">
        <w:t>minimis</w:t>
      </w:r>
      <w:proofErr w:type="spellEnd"/>
      <w:r w:rsidRPr="00DF7381">
        <w:t>.</w:t>
      </w:r>
    </w:p>
    <w:p w:rsidR="00DF7381" w:rsidRPr="00DF7381" w:rsidRDefault="00DF7381" w:rsidP="006B6FC7">
      <w:pPr>
        <w:pStyle w:val="Odsekzoznamu"/>
        <w:ind w:left="1843"/>
        <w:jc w:val="both"/>
      </w:pPr>
      <w:r w:rsidRPr="00DF7381">
        <w:t xml:space="preserve">Nariadenie Komisie (EÚ) č. 651/2014 o vyhlásení určitých kategórií pomoci za </w:t>
      </w:r>
      <w:proofErr w:type="spellStart"/>
      <w:r w:rsidRPr="00DF7381">
        <w:t>zlúčiteľné</w:t>
      </w:r>
      <w:proofErr w:type="spellEnd"/>
      <w:r w:rsidRPr="00DF7381">
        <w:t xml:space="preserve"> s vnútorným trhom podľa článkov 107 a 108 Zmluvy o fungovaní Európskej únie.</w:t>
      </w:r>
    </w:p>
    <w:p w:rsidR="00DF7381" w:rsidRPr="007567CB" w:rsidRDefault="00DF7381" w:rsidP="006B6FC7">
      <w:pPr>
        <w:pStyle w:val="Odsekzoznamu"/>
        <w:ind w:left="1843"/>
        <w:jc w:val="both"/>
        <w:rPr>
          <w:lang w:eastAsia="sk-SK"/>
        </w:rPr>
      </w:pPr>
      <w:r w:rsidRPr="00DF7381">
        <w:t>Podmienka je relevantná iba pre subjekty, ktoré sú v zmysle výzvy povinné preukázať splnenie tejto podmienky poskytnutia príspevku.</w:t>
      </w:r>
    </w:p>
    <w:p w:rsidR="00B2780C" w:rsidRPr="007567CB" w:rsidRDefault="00DF7381" w:rsidP="006B6FC7">
      <w:pPr>
        <w:numPr>
          <w:ilvl w:val="3"/>
          <w:numId w:val="26"/>
        </w:numPr>
        <w:tabs>
          <w:tab w:val="left" w:pos="1418"/>
        </w:tabs>
        <w:ind w:left="1843" w:hanging="425"/>
        <w:jc w:val="both"/>
        <w:rPr>
          <w:b/>
        </w:rPr>
      </w:pPr>
      <w:r w:rsidRPr="00DF7381">
        <w:rPr>
          <w:b/>
        </w:rPr>
        <w:t>Investícia musí byť v súlade s normami EÚ a SR, týkajúcimi sa danej investície.</w:t>
      </w:r>
    </w:p>
    <w:p w:rsidR="00B2780C" w:rsidRPr="007567CB" w:rsidRDefault="00B2780C" w:rsidP="00B2780C">
      <w:pPr>
        <w:tabs>
          <w:tab w:val="left" w:pos="567"/>
          <w:tab w:val="left" w:pos="851"/>
          <w:tab w:val="left" w:pos="2268"/>
        </w:tabs>
        <w:spacing w:line="276" w:lineRule="auto"/>
        <w:ind w:left="709" w:hanging="283"/>
        <w:jc w:val="both"/>
        <w:rPr>
          <w:b/>
        </w:rPr>
      </w:pPr>
    </w:p>
    <w:p w:rsidR="00B2780C" w:rsidRPr="007567CB" w:rsidRDefault="00B2780C" w:rsidP="00E65F0D">
      <w:pPr>
        <w:pStyle w:val="Odsekzoznamu"/>
        <w:numPr>
          <w:ilvl w:val="2"/>
          <w:numId w:val="11"/>
        </w:numPr>
        <w:tabs>
          <w:tab w:val="left" w:pos="289"/>
        </w:tabs>
        <w:spacing w:line="280" w:lineRule="exact"/>
        <w:ind w:hanging="311"/>
        <w:jc w:val="both"/>
        <w:rPr>
          <w:b/>
        </w:rPr>
      </w:pPr>
      <w:r w:rsidRPr="007567CB">
        <w:rPr>
          <w:b/>
        </w:rPr>
        <w:t xml:space="preserve">Výberové kritériá </w:t>
      </w:r>
    </w:p>
    <w:p w:rsidR="00B2780C" w:rsidRPr="007567CB" w:rsidRDefault="00B2780C" w:rsidP="00B2780C">
      <w:pPr>
        <w:ind w:left="851"/>
        <w:jc w:val="both"/>
      </w:pPr>
    </w:p>
    <w:p w:rsidR="00B2780C" w:rsidRPr="007567CB" w:rsidRDefault="00FE0B9B" w:rsidP="00E65F0D">
      <w:pPr>
        <w:pStyle w:val="Odsekzoznamu"/>
        <w:numPr>
          <w:ilvl w:val="0"/>
          <w:numId w:val="27"/>
        </w:numPr>
        <w:suppressAutoHyphens w:val="0"/>
        <w:spacing w:after="200" w:line="276" w:lineRule="auto"/>
        <w:ind w:left="1843" w:hanging="425"/>
        <w:contextualSpacing/>
        <w:jc w:val="both"/>
      </w:pPr>
      <w:r w:rsidRPr="00FE0B9B">
        <w:t>Opatrenie prispieva prioritne k </w:t>
      </w:r>
      <w:proofErr w:type="spellStart"/>
      <w:r w:rsidRPr="00FE0B9B">
        <w:t>fokusovej</w:t>
      </w:r>
      <w:proofErr w:type="spellEnd"/>
      <w:r w:rsidRPr="00FE0B9B">
        <w:t xml:space="preserve"> oblasti 3B. Opatrenie prispieva sekundárne k </w:t>
      </w:r>
      <w:proofErr w:type="spellStart"/>
      <w:r w:rsidRPr="00FE0B9B">
        <w:t>fokusovej</w:t>
      </w:r>
      <w:proofErr w:type="spellEnd"/>
      <w:r w:rsidRPr="00FE0B9B">
        <w:t xml:space="preserve"> oblasti  4B</w:t>
      </w:r>
      <w:r w:rsidR="00B2780C" w:rsidRPr="007567CB">
        <w:t>.</w:t>
      </w:r>
    </w:p>
    <w:p w:rsidR="00B2780C" w:rsidRPr="007567CB" w:rsidRDefault="00FE0B9B" w:rsidP="00E65F0D">
      <w:pPr>
        <w:pStyle w:val="Odsekzoznamu"/>
        <w:numPr>
          <w:ilvl w:val="0"/>
          <w:numId w:val="27"/>
        </w:numPr>
        <w:suppressAutoHyphens w:val="0"/>
        <w:spacing w:after="200" w:line="276" w:lineRule="auto"/>
        <w:ind w:left="1843" w:hanging="425"/>
        <w:contextualSpacing/>
        <w:jc w:val="both"/>
      </w:pPr>
      <w:r w:rsidRPr="00FE0B9B">
        <w:t>Preukázanie, že projekt prešiel posúdením v súlade s čl. (4.7), (8), (9) smernice Európskeho parlamentu a Rady 2000/60/ES, ktorá ustanovuje rámec pôsobnosti spoločenstva v oblasti vodnej politiky a že a príslušné zmierňujúce opatrenia sú navrhnuté</w:t>
      </w:r>
      <w:r w:rsidR="00B2780C" w:rsidRPr="007567CB">
        <w:t>.</w:t>
      </w:r>
    </w:p>
    <w:p w:rsidR="00B2780C" w:rsidRPr="007567CB" w:rsidRDefault="00FE0B9B" w:rsidP="00E65F0D">
      <w:pPr>
        <w:pStyle w:val="Odsekzoznamu"/>
        <w:numPr>
          <w:ilvl w:val="0"/>
          <w:numId w:val="27"/>
        </w:numPr>
        <w:suppressAutoHyphens w:val="0"/>
        <w:spacing w:after="200" w:line="276" w:lineRule="auto"/>
        <w:ind w:left="1843" w:hanging="425"/>
        <w:contextualSpacing/>
        <w:jc w:val="both"/>
      </w:pPr>
      <w:r w:rsidRPr="00FE0B9B">
        <w:t>Posúdenie v zmysle zákona o EIA</w:t>
      </w:r>
      <w:r w:rsidR="00B2780C" w:rsidRPr="007567CB">
        <w:t>.</w:t>
      </w:r>
    </w:p>
    <w:p w:rsidR="00B2780C" w:rsidRPr="007567CB" w:rsidRDefault="00FE0B9B" w:rsidP="00E65F0D">
      <w:pPr>
        <w:pStyle w:val="Odsekzoznamu"/>
        <w:numPr>
          <w:ilvl w:val="0"/>
          <w:numId w:val="27"/>
        </w:numPr>
        <w:suppressAutoHyphens w:val="0"/>
        <w:spacing w:after="200" w:line="276" w:lineRule="auto"/>
        <w:ind w:left="1843" w:hanging="425"/>
        <w:contextualSpacing/>
        <w:jc w:val="both"/>
      </w:pPr>
      <w:r w:rsidRPr="00FE0B9B">
        <w:t xml:space="preserve">Zhodnotenie </w:t>
      </w:r>
      <w:proofErr w:type="spellStart"/>
      <w:r w:rsidRPr="00FE0B9B">
        <w:t>prekryvu</w:t>
      </w:r>
      <w:proofErr w:type="spellEnd"/>
      <w:r w:rsidRPr="00FE0B9B">
        <w:t xml:space="preserve"> záplav a </w:t>
      </w:r>
      <w:proofErr w:type="spellStart"/>
      <w:r w:rsidRPr="00FE0B9B">
        <w:t>aridity</w:t>
      </w:r>
      <w:proofErr w:type="spellEnd"/>
      <w:r w:rsidRPr="00FE0B9B">
        <w:t xml:space="preserve"> daného územia s tým, že každý jednotlivý projekt preukáže, ako rieši (resp. eliminuje) suchá</w:t>
      </w:r>
      <w:r w:rsidR="00B2780C" w:rsidRPr="007567CB">
        <w:t>.</w:t>
      </w:r>
    </w:p>
    <w:p w:rsidR="00B2780C" w:rsidRPr="007567CB" w:rsidRDefault="00FE0B9B" w:rsidP="00E65F0D">
      <w:pPr>
        <w:pStyle w:val="Odsekzoznamu"/>
        <w:numPr>
          <w:ilvl w:val="0"/>
          <w:numId w:val="27"/>
        </w:numPr>
        <w:suppressAutoHyphens w:val="0"/>
        <w:spacing w:after="200" w:line="276" w:lineRule="auto"/>
        <w:ind w:left="1843" w:hanging="425"/>
        <w:contextualSpacing/>
        <w:jc w:val="both"/>
      </w:pPr>
      <w:r w:rsidRPr="00FE0B9B">
        <w:t>Dodržanie a preukázanie súladu čl. 6 smernice Rady 92/43/EHS o ochrane biotopov, voľne žijúcich živočíchov a voľne rastúcich rastlín, ak je to relevantné</w:t>
      </w:r>
      <w:r w:rsidR="00B2780C" w:rsidRPr="007567CB">
        <w:t>.</w:t>
      </w:r>
    </w:p>
    <w:p w:rsidR="00B2780C" w:rsidRDefault="00FE0B9B" w:rsidP="00E65F0D">
      <w:pPr>
        <w:pStyle w:val="Odsekzoznamu"/>
        <w:numPr>
          <w:ilvl w:val="0"/>
          <w:numId w:val="27"/>
        </w:numPr>
        <w:suppressAutoHyphens w:val="0"/>
        <w:spacing w:after="200" w:line="276" w:lineRule="auto"/>
        <w:ind w:left="1843" w:hanging="425"/>
        <w:contextualSpacing/>
        <w:jc w:val="both"/>
      </w:pPr>
      <w:r w:rsidRPr="00FE0B9B">
        <w:t xml:space="preserve">Technická rekonštrukcia kanála nebude v rozpore so záujmami ochrany prírody a krajiny (tzn. nenaruší evidované </w:t>
      </w:r>
      <w:proofErr w:type="spellStart"/>
      <w:r w:rsidRPr="00FE0B9B">
        <w:t>mokraďné</w:t>
      </w:r>
      <w:proofErr w:type="spellEnd"/>
      <w:r w:rsidRPr="00FE0B9B">
        <w:t xml:space="preserve"> a iné ekosystémy a pod.)</w:t>
      </w:r>
      <w:r w:rsidR="00B2780C" w:rsidRPr="007567CB">
        <w:t>.</w:t>
      </w:r>
    </w:p>
    <w:p w:rsidR="00FE0B9B" w:rsidRPr="007567CB" w:rsidRDefault="00FE0B9B" w:rsidP="00E65F0D">
      <w:pPr>
        <w:pStyle w:val="Odsekzoznamu"/>
        <w:numPr>
          <w:ilvl w:val="0"/>
          <w:numId w:val="27"/>
        </w:numPr>
        <w:suppressAutoHyphens w:val="0"/>
        <w:spacing w:after="200" w:line="276" w:lineRule="auto"/>
        <w:ind w:left="1843" w:hanging="425"/>
        <w:contextualSpacing/>
        <w:jc w:val="both"/>
      </w:pPr>
      <w:r w:rsidRPr="00FE0B9B">
        <w:t>Posledná žiadosť o platbu sa musí podať v lehote do  siedmych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B2780C" w:rsidRPr="007567CB" w:rsidRDefault="00B2780C" w:rsidP="00B2780C">
      <w:pPr>
        <w:pStyle w:val="Odsekzoznamu"/>
        <w:suppressAutoHyphens w:val="0"/>
        <w:spacing w:after="200" w:line="276" w:lineRule="auto"/>
        <w:ind w:left="709"/>
        <w:contextualSpacing/>
        <w:jc w:val="both"/>
      </w:pPr>
    </w:p>
    <w:p w:rsidR="00B2780C" w:rsidRPr="007567CB" w:rsidRDefault="00B2780C" w:rsidP="00B2780C">
      <w:pPr>
        <w:pStyle w:val="Odsekzoznamu"/>
        <w:numPr>
          <w:ilvl w:val="2"/>
          <w:numId w:val="11"/>
        </w:numPr>
        <w:tabs>
          <w:tab w:val="left" w:pos="289"/>
        </w:tabs>
        <w:spacing w:line="280" w:lineRule="exact"/>
        <w:jc w:val="both"/>
        <w:rPr>
          <w:b/>
        </w:rPr>
      </w:pPr>
      <w:r w:rsidRPr="007567CB">
        <w:rPr>
          <w:b/>
        </w:rPr>
        <w:t xml:space="preserve">Bodovacie (hodnotiace) kritériá </w:t>
      </w:r>
    </w:p>
    <w:p w:rsidR="00B2780C" w:rsidRPr="007567CB" w:rsidRDefault="00B2780C" w:rsidP="00B2780C">
      <w:pPr>
        <w:ind w:left="851"/>
        <w:jc w:val="both"/>
        <w:rPr>
          <w:b/>
        </w:rPr>
      </w:pPr>
    </w:p>
    <w:p w:rsidR="00B2780C" w:rsidRPr="007567CB" w:rsidRDefault="00B2780C" w:rsidP="003E6859">
      <w:pPr>
        <w:numPr>
          <w:ilvl w:val="4"/>
          <w:numId w:val="4"/>
        </w:numPr>
        <w:ind w:left="1276" w:hanging="283"/>
        <w:jc w:val="both"/>
      </w:pPr>
      <w:r w:rsidRPr="007567CB">
        <w:rPr>
          <w:b/>
        </w:rPr>
        <w:t xml:space="preserve">Princípy uplatnenia výberu: </w:t>
      </w:r>
    </w:p>
    <w:p w:rsidR="00B2780C" w:rsidRPr="007567CB" w:rsidRDefault="00B2780C" w:rsidP="00B2780C">
      <w:pPr>
        <w:ind w:left="993"/>
        <w:jc w:val="both"/>
      </w:pPr>
    </w:p>
    <w:p w:rsidR="00B2780C" w:rsidRPr="007567CB" w:rsidRDefault="003E6859" w:rsidP="003E6859">
      <w:pPr>
        <w:numPr>
          <w:ilvl w:val="5"/>
          <w:numId w:val="3"/>
        </w:numPr>
        <w:ind w:left="1701" w:hanging="425"/>
        <w:jc w:val="both"/>
      </w:pPr>
      <w:r w:rsidRPr="003E6859">
        <w:rPr>
          <w:lang w:eastAsia="sk-SK"/>
        </w:rPr>
        <w:t xml:space="preserve">Výber projektov uskutoční </w:t>
      </w:r>
      <w:r>
        <w:rPr>
          <w:lang w:eastAsia="sk-SK"/>
        </w:rPr>
        <w:t>Ministerstvo pôdohospodárstva a rozvoja vidieka</w:t>
      </w:r>
      <w:r w:rsidRPr="003E6859">
        <w:rPr>
          <w:lang w:eastAsia="sk-SK"/>
        </w:rPr>
        <w:t xml:space="preserve"> SR na základe predložených projektových  (investičných) zámerov. Výsledkom výberu bude schválený zoznam projektových  (investičných) zámerov vypracovaný Ministerstvo</w:t>
      </w:r>
      <w:r>
        <w:rPr>
          <w:lang w:eastAsia="sk-SK"/>
        </w:rPr>
        <w:t>m</w:t>
      </w:r>
      <w:r w:rsidRPr="003E6859">
        <w:rPr>
          <w:lang w:eastAsia="sk-SK"/>
        </w:rPr>
        <w:t xml:space="preserve"> pôdohospodárstva a rozvoja vidieka SR. Len za úspešné projektové  (investičné) zámery bude môcť žiadateľ predložiť žiadosť o NFP na PPA.</w:t>
      </w:r>
    </w:p>
    <w:p w:rsidR="00B2780C" w:rsidRPr="007567CB" w:rsidRDefault="003E6859" w:rsidP="003E6859">
      <w:pPr>
        <w:numPr>
          <w:ilvl w:val="5"/>
          <w:numId w:val="3"/>
        </w:numPr>
        <w:ind w:left="1701" w:hanging="425"/>
        <w:jc w:val="both"/>
        <w:rPr>
          <w:lang w:eastAsia="sk-SK"/>
        </w:rPr>
      </w:pPr>
      <w:r w:rsidRPr="003E6859">
        <w:rPr>
          <w:lang w:eastAsia="sk-SK"/>
        </w:rPr>
        <w:t>Minimálna hranica požadovaných bodov z dôvodu aby sa zamedzilo schváleniu vyslovene zlých projektov je 60.</w:t>
      </w:r>
    </w:p>
    <w:p w:rsidR="00B2780C" w:rsidRPr="007567CB" w:rsidRDefault="00B2780C" w:rsidP="00B2780C">
      <w:pPr>
        <w:jc w:val="both"/>
      </w:pPr>
    </w:p>
    <w:p w:rsidR="00B2780C" w:rsidRDefault="00B2780C" w:rsidP="00B2780C">
      <w:pPr>
        <w:ind w:left="993"/>
        <w:jc w:val="both"/>
      </w:pPr>
    </w:p>
    <w:p w:rsidR="004A47DB" w:rsidRDefault="004A47DB" w:rsidP="00B2780C">
      <w:pPr>
        <w:ind w:left="993"/>
        <w:jc w:val="both"/>
      </w:pPr>
    </w:p>
    <w:p w:rsidR="004A47DB" w:rsidRPr="007567CB" w:rsidRDefault="004A47DB" w:rsidP="00B2780C">
      <w:pPr>
        <w:ind w:left="993"/>
        <w:jc w:val="both"/>
      </w:pPr>
    </w:p>
    <w:p w:rsidR="00B2780C" w:rsidRPr="007567CB" w:rsidRDefault="00B2780C" w:rsidP="006223E2">
      <w:pPr>
        <w:numPr>
          <w:ilvl w:val="1"/>
          <w:numId w:val="6"/>
        </w:numPr>
        <w:tabs>
          <w:tab w:val="left" w:pos="289"/>
        </w:tabs>
        <w:spacing w:line="280" w:lineRule="exact"/>
        <w:ind w:left="567" w:hanging="283"/>
        <w:jc w:val="both"/>
        <w:rPr>
          <w:b/>
        </w:rPr>
      </w:pPr>
      <w:r w:rsidRPr="007567CB">
        <w:rPr>
          <w:b/>
        </w:rPr>
        <w:t xml:space="preserve">Spôsob financovania </w:t>
      </w:r>
    </w:p>
    <w:p w:rsidR="00B2780C" w:rsidRPr="007567CB" w:rsidRDefault="00B2780C" w:rsidP="00B2780C">
      <w:pPr>
        <w:tabs>
          <w:tab w:val="left" w:pos="289"/>
        </w:tabs>
        <w:spacing w:line="280" w:lineRule="exact"/>
        <w:ind w:left="567"/>
        <w:jc w:val="both"/>
        <w:rPr>
          <w:b/>
        </w:rPr>
      </w:pPr>
    </w:p>
    <w:p w:rsidR="00B2780C" w:rsidRPr="007567CB" w:rsidRDefault="00B2780C" w:rsidP="00196CA7">
      <w:pPr>
        <w:pStyle w:val="Odsekzoznamu"/>
        <w:numPr>
          <w:ilvl w:val="2"/>
          <w:numId w:val="12"/>
        </w:numPr>
        <w:spacing w:line="280" w:lineRule="exact"/>
        <w:ind w:left="1418" w:hanging="709"/>
        <w:jc w:val="both"/>
        <w:rPr>
          <w:b/>
        </w:rPr>
      </w:pPr>
      <w:r w:rsidRPr="007567CB">
        <w:t xml:space="preserve">Výška </w:t>
      </w:r>
      <w:r w:rsidRPr="007567CB">
        <w:rPr>
          <w:bCs/>
          <w:lang w:eastAsia="sk-SK"/>
        </w:rPr>
        <w:t xml:space="preserve">podpory: 100% z celkových oprávnených výdavkov v súlade </w:t>
      </w:r>
      <w:r w:rsidRPr="007567CB">
        <w:rPr>
          <w:lang w:eastAsia="sk-SK"/>
        </w:rPr>
        <w:t xml:space="preserve">s maximálnym limitom určeným v tejto výzve. </w:t>
      </w:r>
    </w:p>
    <w:p w:rsidR="00B2780C" w:rsidRPr="007567CB" w:rsidRDefault="00B2780C" w:rsidP="00196CA7">
      <w:pPr>
        <w:pStyle w:val="Odsekzoznamu"/>
        <w:numPr>
          <w:ilvl w:val="2"/>
          <w:numId w:val="12"/>
        </w:numPr>
        <w:tabs>
          <w:tab w:val="left" w:pos="-142"/>
        </w:tabs>
        <w:spacing w:line="280" w:lineRule="exact"/>
        <w:ind w:left="1418" w:hanging="709"/>
        <w:jc w:val="both"/>
      </w:pPr>
      <w:r w:rsidRPr="00196CA7">
        <w:t xml:space="preserve">Druh podpory: Grant </w:t>
      </w:r>
      <w:r w:rsidRPr="007567CB">
        <w:t>(nenávratný finančný príspevok)</w:t>
      </w:r>
      <w:r w:rsidRPr="00196CA7">
        <w:t>, možnosť poskytnutia zálohovej platby do výšky max. 50% oprávnených výdavkov</w:t>
      </w:r>
      <w:r w:rsidRPr="007567CB">
        <w:t xml:space="preserve">. </w:t>
      </w:r>
    </w:p>
    <w:p w:rsidR="00B2780C" w:rsidRPr="007567CB" w:rsidRDefault="00B2780C" w:rsidP="00B2780C">
      <w:pPr>
        <w:ind w:left="851"/>
        <w:jc w:val="both"/>
        <w:rPr>
          <w:bCs/>
          <w:lang w:eastAsia="sk-SK"/>
        </w:rPr>
      </w:pPr>
    </w:p>
    <w:p w:rsidR="00B2780C" w:rsidRPr="007567CB" w:rsidRDefault="00B2780C" w:rsidP="00D04179">
      <w:pPr>
        <w:numPr>
          <w:ilvl w:val="1"/>
          <w:numId w:val="6"/>
        </w:numPr>
        <w:tabs>
          <w:tab w:val="left" w:pos="289"/>
        </w:tabs>
        <w:spacing w:line="280" w:lineRule="exact"/>
        <w:ind w:left="567" w:hanging="283"/>
        <w:jc w:val="both"/>
        <w:rPr>
          <w:b/>
        </w:rPr>
      </w:pPr>
      <w:r w:rsidRPr="007567CB">
        <w:rPr>
          <w:b/>
        </w:rPr>
        <w:t xml:space="preserve">Splnenie podmienok ustanovených v osobitných predpisoch  </w:t>
      </w:r>
    </w:p>
    <w:p w:rsidR="00B2780C" w:rsidRPr="007567CB" w:rsidRDefault="00B2780C" w:rsidP="00B2780C">
      <w:pPr>
        <w:tabs>
          <w:tab w:val="left" w:pos="289"/>
        </w:tabs>
        <w:spacing w:line="280" w:lineRule="exact"/>
        <w:ind w:left="567"/>
        <w:jc w:val="both"/>
        <w:rPr>
          <w:b/>
        </w:rPr>
      </w:pPr>
    </w:p>
    <w:p w:rsidR="00B2780C" w:rsidRPr="007567CB" w:rsidRDefault="00B2780C" w:rsidP="00D04179">
      <w:pPr>
        <w:pStyle w:val="Odsekzoznamu"/>
        <w:numPr>
          <w:ilvl w:val="2"/>
          <w:numId w:val="13"/>
        </w:numPr>
        <w:tabs>
          <w:tab w:val="left" w:pos="567"/>
        </w:tabs>
        <w:spacing w:line="280" w:lineRule="exact"/>
        <w:ind w:left="1418" w:hanging="709"/>
        <w:jc w:val="both"/>
        <w:rPr>
          <w:b/>
        </w:rPr>
      </w:pPr>
      <w:r w:rsidRPr="007567CB">
        <w:t xml:space="preserve">Žiadateľ je povinný pri obstarávaní tovarov, stavebných prác a služieb postupovať v súlade so zákonom č. 25/2006 </w:t>
      </w:r>
      <w:proofErr w:type="spellStart"/>
      <w:r w:rsidRPr="007567CB">
        <w:t>Z.z</w:t>
      </w:r>
      <w:proofErr w:type="spellEnd"/>
      <w:r w:rsidRPr="007567CB">
        <w:t>. v znení neskorších predpisov a v súlade s ustanoveniami, uvedenými v Príručke, v kapitole 3. Usmernenie postupu žiadateľov pri obstarávaní tovarov, stavebných prác a služieb</w:t>
      </w:r>
    </w:p>
    <w:p w:rsidR="00B2780C" w:rsidRPr="009D5710" w:rsidRDefault="009D5710" w:rsidP="00D04179">
      <w:pPr>
        <w:pStyle w:val="Odsekzoznamu"/>
        <w:numPr>
          <w:ilvl w:val="2"/>
          <w:numId w:val="13"/>
        </w:numPr>
        <w:tabs>
          <w:tab w:val="left" w:pos="567"/>
        </w:tabs>
        <w:spacing w:line="280" w:lineRule="exact"/>
        <w:ind w:left="1418" w:hanging="709"/>
        <w:jc w:val="both"/>
      </w:pPr>
      <w:r w:rsidRPr="009D5710">
        <w:t>PPA akceptuje obstarávanie tovarov, stavebných prác a služieb, začaté najskôr dňa 01.12.2014.</w:t>
      </w:r>
    </w:p>
    <w:p w:rsidR="00B2780C" w:rsidRDefault="00B2780C" w:rsidP="00D04179">
      <w:pPr>
        <w:pStyle w:val="Odsekzoznamu"/>
        <w:numPr>
          <w:ilvl w:val="2"/>
          <w:numId w:val="13"/>
        </w:numPr>
        <w:tabs>
          <w:tab w:val="left" w:pos="567"/>
        </w:tabs>
        <w:spacing w:line="280" w:lineRule="exact"/>
        <w:ind w:left="1418" w:hanging="709"/>
        <w:jc w:val="both"/>
      </w:pPr>
      <w:r w:rsidRPr="007567CB">
        <w:t xml:space="preserve">PPA akceptuje obstarávanie tovarov, stavebných prác a služieb, začaté najskôr dňa 01.12.2014. V závislosti na použitej metóde a postupe verejného obstarávania je žiadateľ povinný predložiť kompletnú dokumentáciu, vzťahujúcu sa na verejné obstarávanie, ktorá tvorí súčasť povinných príloh, uvedených vo formulári </w:t>
      </w:r>
      <w:proofErr w:type="spellStart"/>
      <w:r w:rsidRPr="007567CB">
        <w:t>ŽoNFP</w:t>
      </w:r>
      <w:proofErr w:type="spellEnd"/>
      <w:r w:rsidRPr="007567CB">
        <w:t>, v časti  „</w:t>
      </w:r>
      <w:r w:rsidR="004E4A9C" w:rsidRPr="004E4A9C">
        <w:t>C</w:t>
      </w:r>
      <w:r w:rsidR="00A12AD5">
        <w:t>3</w:t>
      </w:r>
      <w:r w:rsidR="004E4A9C" w:rsidRPr="004E4A9C">
        <w:t xml:space="preserve">. </w:t>
      </w:r>
      <w:r w:rsidR="00A12AD5" w:rsidRPr="00A12AD5">
        <w:t>Prílohy, ktoré je žiadateľ povinný predložiť pri žiadosti o platbu</w:t>
      </w:r>
      <w:r w:rsidRPr="007567CB">
        <w:t>“.</w:t>
      </w:r>
      <w:r w:rsidRPr="007567CB" w:rsidDel="002C700F">
        <w:t xml:space="preserve"> </w:t>
      </w:r>
    </w:p>
    <w:p w:rsidR="009D5710" w:rsidRDefault="009D5710" w:rsidP="00D04179">
      <w:pPr>
        <w:pStyle w:val="Odsekzoznamu"/>
        <w:numPr>
          <w:ilvl w:val="2"/>
          <w:numId w:val="13"/>
        </w:numPr>
        <w:tabs>
          <w:tab w:val="left" w:pos="567"/>
        </w:tabs>
        <w:spacing w:line="280" w:lineRule="exact"/>
        <w:ind w:left="1418" w:hanging="709"/>
        <w:jc w:val="both"/>
      </w:pPr>
      <w:r w:rsidRPr="00E46EBE">
        <w:t xml:space="preserve">V prípade ak žiadateľ do podania </w:t>
      </w:r>
      <w:proofErr w:type="spellStart"/>
      <w:r w:rsidRPr="00E46EBE">
        <w:t>ŽoNFP</w:t>
      </w:r>
      <w:proofErr w:type="spellEnd"/>
      <w:r w:rsidRPr="00E46EBE">
        <w:t xml:space="preserve"> neukončil verejné obstarávanie (na všetky zákazky týkajúce sa obstarávania predmetu projektu), v tabuľke oprávnených výdavkov a v </w:t>
      </w:r>
      <w:proofErr w:type="spellStart"/>
      <w:r w:rsidRPr="00E46EBE">
        <w:t>ŽoNFP</w:t>
      </w:r>
      <w:proofErr w:type="spellEnd"/>
      <w:r w:rsidRPr="00E46EBE">
        <w:t xml:space="preserve"> uvedie predpokladanú/é hodnoty zákazky/zákaziek. Pri výpočte predpokladanej hodnoty zákazky sa bude riadiť ustanoveniami uvedenými v § 5 ZVO a predkladá </w:t>
      </w:r>
      <w:proofErr w:type="spellStart"/>
      <w:r w:rsidRPr="00E46EBE">
        <w:t>ŽoNFP</w:t>
      </w:r>
      <w:proofErr w:type="spellEnd"/>
      <w:r w:rsidRPr="00E46EBE">
        <w:t xml:space="preserve"> bez dokumentácie vzťahujúcej sa k verejnému obstarávaniu</w:t>
      </w:r>
      <w:r w:rsidRPr="00E502B2">
        <w:t>.</w:t>
      </w:r>
    </w:p>
    <w:p w:rsidR="009D5710" w:rsidRPr="00C37964" w:rsidRDefault="009D5710" w:rsidP="00D04179">
      <w:pPr>
        <w:pStyle w:val="Odsekzoznamu"/>
        <w:numPr>
          <w:ilvl w:val="2"/>
          <w:numId w:val="13"/>
        </w:numPr>
        <w:tabs>
          <w:tab w:val="left" w:pos="567"/>
        </w:tabs>
        <w:spacing w:line="280" w:lineRule="exact"/>
        <w:ind w:left="1418" w:hanging="709"/>
        <w:jc w:val="both"/>
      </w:pPr>
      <w:r w:rsidRPr="00854267">
        <w:t xml:space="preserve">V prípade ak žiadateľ do podania </w:t>
      </w:r>
      <w:proofErr w:type="spellStart"/>
      <w:r w:rsidRPr="00854267">
        <w:t>ŽoNFP</w:t>
      </w:r>
      <w:proofErr w:type="spellEnd"/>
      <w:r w:rsidRPr="00854267">
        <w:t xml:space="preserve"> neukončil začaté verejné obstarávanie a pri </w:t>
      </w:r>
      <w:proofErr w:type="spellStart"/>
      <w:r w:rsidRPr="00854267">
        <w:t>ŽoNFP</w:t>
      </w:r>
      <w:proofErr w:type="spellEnd"/>
      <w:r w:rsidRPr="00854267">
        <w:t xml:space="preserve"> nepredložil všetky doklady k VO (neuzatvorenú </w:t>
      </w:r>
      <w:r w:rsidRPr="00C37964">
        <w:t xml:space="preserve">zmluvu s dodávateľom), bude </w:t>
      </w:r>
      <w:r w:rsidR="00854267" w:rsidRPr="00C37964">
        <w:t>termín predloženia uvedený v zmluve</w:t>
      </w:r>
      <w:r w:rsidRPr="00C37964">
        <w:t xml:space="preserve"> o NFP.</w:t>
      </w:r>
    </w:p>
    <w:p w:rsidR="00B2780C" w:rsidRPr="007567CB" w:rsidRDefault="00E837B9" w:rsidP="00D04179">
      <w:pPr>
        <w:pStyle w:val="Odsekzoznamu"/>
        <w:numPr>
          <w:ilvl w:val="2"/>
          <w:numId w:val="13"/>
        </w:numPr>
        <w:tabs>
          <w:tab w:val="left" w:pos="567"/>
        </w:tabs>
        <w:spacing w:line="280" w:lineRule="exact"/>
        <w:ind w:left="1418" w:hanging="709"/>
        <w:jc w:val="both"/>
      </w:pPr>
      <w:r w:rsidRPr="00E837B9">
        <w:t>Doklady súvisiace s obstarávaním tovarov, stavebných prác a služieb musia byť v súlade s údajmi uvedenými v projektovej dokumentácii</w:t>
      </w:r>
    </w:p>
    <w:p w:rsidR="00B2780C" w:rsidRPr="007567CB" w:rsidRDefault="00B2780C" w:rsidP="00D04179">
      <w:pPr>
        <w:pStyle w:val="Odsekzoznamu"/>
        <w:numPr>
          <w:ilvl w:val="2"/>
          <w:numId w:val="13"/>
        </w:numPr>
        <w:tabs>
          <w:tab w:val="left" w:pos="567"/>
        </w:tabs>
        <w:spacing w:line="280" w:lineRule="exact"/>
        <w:ind w:left="1418" w:hanging="709"/>
        <w:jc w:val="both"/>
      </w:pPr>
      <w:r w:rsidRPr="007567CB">
        <w:t>Podľa § 21 ods. 1 zákona č. 25/2006 Z. z. o verejnom obstarávaní a o zmene a doplnení niektorých zákonov v znení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p>
    <w:p w:rsidR="00B2780C" w:rsidRPr="007567CB" w:rsidRDefault="00B2780C" w:rsidP="00D04179">
      <w:pPr>
        <w:pStyle w:val="Odsekzoznamu"/>
        <w:numPr>
          <w:ilvl w:val="2"/>
          <w:numId w:val="13"/>
        </w:numPr>
        <w:tabs>
          <w:tab w:val="left" w:pos="567"/>
        </w:tabs>
        <w:spacing w:line="280" w:lineRule="exact"/>
        <w:ind w:left="1418" w:hanging="709"/>
        <w:jc w:val="both"/>
      </w:pPr>
      <w:r w:rsidRPr="007567CB">
        <w:t>Podľa § 21 ods. 1 zákona č. 25/2006 Z. z. o verejnom obstarávaní a o zmene a doplnení niektorých zákonov v znení účinnom od 27. 02. 2014 (ďalej len „ZVO") verejný obstarávateľ je povinný evidovať všetky doklady a dokumenty z použitého postupu verejného obstarávania a uchovávať ich päť rokov od uzavretia zmluvy alebo rámcovej dohody, ak ide o podlimitnú zákazku:</w:t>
      </w:r>
    </w:p>
    <w:p w:rsidR="00B2780C" w:rsidRPr="007567CB" w:rsidRDefault="00B2780C" w:rsidP="00E837B9">
      <w:pPr>
        <w:pStyle w:val="Odsekzoznamu"/>
        <w:numPr>
          <w:ilvl w:val="0"/>
          <w:numId w:val="8"/>
        </w:numPr>
        <w:suppressAutoHyphens w:val="0"/>
        <w:ind w:left="1701" w:hanging="283"/>
        <w:contextualSpacing/>
        <w:jc w:val="both"/>
        <w:rPr>
          <w:color w:val="000000"/>
          <w:lang w:eastAsia="sk-SK"/>
        </w:rPr>
      </w:pPr>
      <w:r w:rsidRPr="007567CB">
        <w:rPr>
          <w:color w:val="000000"/>
          <w:lang w:eastAsia="sk-SK"/>
        </w:rPr>
        <w:t xml:space="preserve">pri ktorej môže podať námietky aj iná osoba než orgán štátnej správy podľa § 137 ods. 2 písm. b) (tzv. dvojobálkové predkladanie a otváranie ponúk – použije sa § 39 a § 41; ak predpokladaná hodnota zákazky je vyššia než </w:t>
      </w:r>
      <w:r w:rsidR="00DF7694">
        <w:rPr>
          <w:color w:val="000000"/>
          <w:lang w:eastAsia="sk-SK"/>
        </w:rPr>
        <w:br/>
      </w:r>
      <w:r w:rsidRPr="007567CB">
        <w:rPr>
          <w:color w:val="000000"/>
          <w:lang w:eastAsia="sk-SK"/>
        </w:rPr>
        <w:lastRenderedPageBreak/>
        <w:t>40 000 eur, ak ide o zákazku na dodanie tovaru alebo poskytnutie služieb a 200 000 eur, ak ide o zákazku na uskutočnenie stavebných prác),</w:t>
      </w:r>
    </w:p>
    <w:p w:rsidR="00B2780C" w:rsidRPr="00E837B9" w:rsidRDefault="00B2780C" w:rsidP="00E837B9">
      <w:pPr>
        <w:pStyle w:val="Odsekzoznamu"/>
        <w:numPr>
          <w:ilvl w:val="0"/>
          <w:numId w:val="8"/>
        </w:numPr>
        <w:suppressAutoHyphens w:val="0"/>
        <w:ind w:left="1701" w:hanging="283"/>
        <w:contextualSpacing/>
        <w:jc w:val="both"/>
        <w:rPr>
          <w:color w:val="000000"/>
          <w:lang w:eastAsia="sk-SK"/>
        </w:rPr>
      </w:pPr>
      <w:r w:rsidRPr="007567CB">
        <w:rPr>
          <w:color w:val="000000"/>
          <w:lang w:eastAsia="sk-SK"/>
        </w:rPr>
        <w:t xml:space="preserve">pri ktorej nemôže podať námietky aj iná osoba než orgán štátnej správy podľa § 137 ods. 2 písm. b) (tzv. jednoobálkové predkladanie a otváranie ponúk - § 100 ods. 6; ak predpokladaná hodnota zákazky je nižšia alebo rovná než </w:t>
      </w:r>
      <w:r w:rsidR="00DF7694">
        <w:rPr>
          <w:color w:val="000000"/>
          <w:lang w:eastAsia="sk-SK"/>
        </w:rPr>
        <w:br/>
      </w:r>
      <w:r w:rsidRPr="007567CB">
        <w:rPr>
          <w:color w:val="000000"/>
          <w:lang w:eastAsia="sk-SK"/>
        </w:rPr>
        <w:t>40 000 eur, ak ide o zákazku na dodanie tovaru alebo poskytnutie služieb a 200 000 eur, ak ide o zákazku na uskutočnenie stavebných prác)</w:t>
      </w:r>
    </w:p>
    <w:p w:rsidR="00B2780C" w:rsidRPr="007567CB" w:rsidRDefault="00B2780C" w:rsidP="00DF7694">
      <w:pPr>
        <w:pStyle w:val="Odsekzoznamu"/>
        <w:tabs>
          <w:tab w:val="left" w:pos="567"/>
        </w:tabs>
        <w:spacing w:line="280" w:lineRule="exact"/>
        <w:ind w:left="1418"/>
        <w:jc w:val="both"/>
      </w:pPr>
      <w:r w:rsidRPr="007567CB">
        <w:t xml:space="preserve">Ak ide o zákazku na dodanie tovaru, uskutočnenie stavebných prác alebo poskytnutie služby, ktorá nespĺňa podmienky podľa § 4 ods. 2 alebo ods. 3, ( §9 ods. 9 Zákona č. 25/2006 Z. z. o verejnom obstarávaní )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w:t>
      </w:r>
    </w:p>
    <w:p w:rsidR="00AA7F1D" w:rsidRDefault="00AA7F1D" w:rsidP="00D04179">
      <w:pPr>
        <w:pStyle w:val="Odsekzoznamu"/>
        <w:numPr>
          <w:ilvl w:val="2"/>
          <w:numId w:val="13"/>
        </w:numPr>
        <w:tabs>
          <w:tab w:val="left" w:pos="567"/>
        </w:tabs>
        <w:spacing w:line="280" w:lineRule="exact"/>
        <w:ind w:left="1418" w:hanging="709"/>
        <w:jc w:val="both"/>
      </w:pPr>
      <w:r w:rsidRPr="00AA7F1D">
        <w:t>Predloženie Oznámenie o schválení investičného (projektového) zámeru hodnotiacou komisiou Ministerstva pôdohospodárstva a rozvoja vidieka SR</w:t>
      </w:r>
      <w:r w:rsidR="00210005">
        <w:t xml:space="preserve"> </w:t>
      </w:r>
      <w:r w:rsidR="00210005" w:rsidRPr="00210005">
        <w:t>vrátane investičného (projektového) zámeru</w:t>
      </w:r>
    </w:p>
    <w:p w:rsidR="00E837B9" w:rsidRDefault="00E837B9" w:rsidP="00D04179">
      <w:pPr>
        <w:pStyle w:val="Odsekzoznamu"/>
        <w:numPr>
          <w:ilvl w:val="2"/>
          <w:numId w:val="13"/>
        </w:numPr>
        <w:tabs>
          <w:tab w:val="left" w:pos="567"/>
        </w:tabs>
        <w:spacing w:line="280" w:lineRule="exact"/>
        <w:ind w:left="1418" w:hanging="709"/>
        <w:jc w:val="both"/>
      </w:pPr>
      <w:r>
        <w:t>Právoplatné s</w:t>
      </w:r>
      <w:r w:rsidRPr="00F3269E">
        <w:t xml:space="preserve">tavebné povolenie nie je žiadateľ povinný predložiť pri podaní </w:t>
      </w:r>
      <w:proofErr w:type="spellStart"/>
      <w:r w:rsidRPr="00F3269E">
        <w:t>ŽoNFP</w:t>
      </w:r>
      <w:proofErr w:type="spellEnd"/>
      <w:r w:rsidR="00210005">
        <w:t xml:space="preserve"> – </w:t>
      </w:r>
      <w:r w:rsidR="003A5F53">
        <w:t>predkladá ho k žiadosti o platbu</w:t>
      </w:r>
    </w:p>
    <w:p w:rsidR="00E837B9" w:rsidRDefault="00E837B9" w:rsidP="00D04179">
      <w:pPr>
        <w:pStyle w:val="Odsekzoznamu"/>
        <w:numPr>
          <w:ilvl w:val="2"/>
          <w:numId w:val="13"/>
        </w:numPr>
        <w:tabs>
          <w:tab w:val="left" w:pos="567"/>
        </w:tabs>
        <w:spacing w:line="280" w:lineRule="exact"/>
        <w:ind w:left="1418" w:hanging="709"/>
        <w:jc w:val="both"/>
      </w:pPr>
      <w:r w:rsidRPr="005841AD">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w:t>
      </w:r>
      <w:r w:rsidRPr="008108E5">
        <w:t xml:space="preserve">čné stanovisko Ministerstva životného prostredia SR alebo vyjadrenie k zmene činnosti nie je žiadateľ povinný predložiť pri podaní </w:t>
      </w:r>
      <w:proofErr w:type="spellStart"/>
      <w:r w:rsidRPr="008108E5">
        <w:t>ŽoNFP</w:t>
      </w:r>
      <w:proofErr w:type="spellEnd"/>
      <w:r w:rsidRPr="008108E5">
        <w:t xml:space="preserve">, ale najneskôr </w:t>
      </w:r>
      <w:r w:rsidRPr="00F3269E">
        <w:t>pred podpisom zmluvy</w:t>
      </w:r>
      <w:r>
        <w:t xml:space="preserve"> o poskytnutí NFP na základe písomnej výzvy PPA</w:t>
      </w:r>
    </w:p>
    <w:p w:rsidR="00E837B9" w:rsidRPr="007567CB" w:rsidRDefault="00E837B9" w:rsidP="00D04179">
      <w:pPr>
        <w:pStyle w:val="Odsekzoznamu"/>
        <w:numPr>
          <w:ilvl w:val="2"/>
          <w:numId w:val="13"/>
        </w:numPr>
        <w:tabs>
          <w:tab w:val="left" w:pos="567"/>
        </w:tabs>
        <w:spacing w:line="280" w:lineRule="exact"/>
        <w:ind w:left="1418" w:hanging="709"/>
        <w:jc w:val="both"/>
      </w:pPr>
      <w:r w:rsidRPr="00C73146">
        <w:t>V prípade, ak sa projekt dotýka záujmov ochrany prírody v zmysle zákona č. 543/2002 Z. z. o ochrane prírody a krajiny v znení neskorších predpisov, súhlasné stanovisko príslušného orgánu štátnej správy ochrany prírody - Odboru starostlivosti o životné prostredie na okresnom úrade</w:t>
      </w:r>
      <w:r w:rsidR="00C73146" w:rsidRPr="00C73146">
        <w:t xml:space="preserve"> </w:t>
      </w:r>
      <w:r w:rsidR="00C73146" w:rsidRPr="008108E5">
        <w:t xml:space="preserve">nie je žiadateľ povinný predložiť pri podaní </w:t>
      </w:r>
      <w:proofErr w:type="spellStart"/>
      <w:r w:rsidR="00C73146" w:rsidRPr="008108E5">
        <w:t>ŽoNFP</w:t>
      </w:r>
      <w:proofErr w:type="spellEnd"/>
      <w:r w:rsidR="00C73146" w:rsidRPr="008108E5">
        <w:t xml:space="preserve">, ale najneskôr </w:t>
      </w:r>
      <w:r w:rsidR="00C73146" w:rsidRPr="00F3269E">
        <w:t>pred podpisom zmluvy</w:t>
      </w:r>
      <w:r w:rsidR="00C73146">
        <w:t xml:space="preserve"> o poskytnutí NFP na základe písomnej výzvy PPA</w:t>
      </w:r>
      <w:r w:rsidR="00425C1E" w:rsidRPr="00C73146">
        <w:t xml:space="preserve"> </w:t>
      </w:r>
    </w:p>
    <w:p w:rsidR="00B2780C" w:rsidRPr="007567CB" w:rsidRDefault="00B2780C" w:rsidP="00D04179">
      <w:pPr>
        <w:pStyle w:val="Odsekzoznamu"/>
        <w:numPr>
          <w:ilvl w:val="2"/>
          <w:numId w:val="13"/>
        </w:numPr>
        <w:tabs>
          <w:tab w:val="left" w:pos="567"/>
        </w:tabs>
        <w:spacing w:line="280" w:lineRule="exact"/>
        <w:ind w:left="1418" w:hanging="709"/>
        <w:jc w:val="both"/>
      </w:pPr>
      <w:r w:rsidRPr="007567CB">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w:t>
      </w:r>
      <w:r w:rsidR="002B7FB2">
        <w:t>11</w:t>
      </w:r>
      <w:r w:rsidRPr="007567CB">
        <w:t>. Konflikt záujmov.</w:t>
      </w:r>
    </w:p>
    <w:p w:rsidR="00B2780C" w:rsidRPr="007567CB" w:rsidRDefault="00B2780C" w:rsidP="00D04179">
      <w:pPr>
        <w:pStyle w:val="Odsekzoznamu"/>
        <w:numPr>
          <w:ilvl w:val="2"/>
          <w:numId w:val="13"/>
        </w:numPr>
        <w:tabs>
          <w:tab w:val="left" w:pos="567"/>
        </w:tabs>
        <w:spacing w:line="280" w:lineRule="exact"/>
        <w:ind w:left="1418" w:hanging="709"/>
        <w:jc w:val="both"/>
      </w:pPr>
      <w:r w:rsidRPr="007567CB">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B2780C" w:rsidRPr="007567CB" w:rsidRDefault="00B2780C" w:rsidP="00E837B9">
      <w:pPr>
        <w:numPr>
          <w:ilvl w:val="3"/>
          <w:numId w:val="5"/>
        </w:numPr>
        <w:tabs>
          <w:tab w:val="left" w:pos="1276"/>
        </w:tabs>
        <w:suppressAutoHyphens w:val="0"/>
        <w:ind w:left="1701" w:hanging="283"/>
        <w:jc w:val="both"/>
      </w:pPr>
      <w:r w:rsidRPr="007567CB">
        <w:t>identifikačné údaje prevádzkovateľa databázy CED, ktorým je účtovník Európskej Komisie,</w:t>
      </w:r>
    </w:p>
    <w:p w:rsidR="00B2780C" w:rsidRPr="007567CB" w:rsidRDefault="00B2780C" w:rsidP="00E837B9">
      <w:pPr>
        <w:numPr>
          <w:ilvl w:val="3"/>
          <w:numId w:val="5"/>
        </w:numPr>
        <w:tabs>
          <w:tab w:val="left" w:pos="1276"/>
        </w:tabs>
        <w:suppressAutoHyphens w:val="0"/>
        <w:ind w:left="1701" w:hanging="283"/>
        <w:jc w:val="both"/>
      </w:pPr>
      <w:r w:rsidRPr="007567CB">
        <w:lastRenderedPageBreak/>
        <w:t xml:space="preserve">zoznam spracúvaných údajov, </w:t>
      </w:r>
    </w:p>
    <w:p w:rsidR="00B2780C" w:rsidRPr="007567CB" w:rsidRDefault="00B2780C" w:rsidP="00E837B9">
      <w:pPr>
        <w:numPr>
          <w:ilvl w:val="3"/>
          <w:numId w:val="5"/>
        </w:numPr>
        <w:tabs>
          <w:tab w:val="left" w:pos="1276"/>
        </w:tabs>
        <w:suppressAutoHyphens w:val="0"/>
        <w:ind w:left="1701" w:hanging="283"/>
        <w:jc w:val="both"/>
      </w:pPr>
      <w:r w:rsidRPr="007567CB">
        <w:t>účel spracúvania osobných údajov,</w:t>
      </w:r>
    </w:p>
    <w:p w:rsidR="00B2780C" w:rsidRPr="007567CB" w:rsidRDefault="00B2780C" w:rsidP="00E837B9">
      <w:pPr>
        <w:numPr>
          <w:ilvl w:val="3"/>
          <w:numId w:val="5"/>
        </w:numPr>
        <w:tabs>
          <w:tab w:val="left" w:pos="1276"/>
        </w:tabs>
        <w:suppressAutoHyphens w:val="0"/>
        <w:ind w:left="1701" w:hanging="283"/>
        <w:jc w:val="both"/>
      </w:pPr>
      <w:r w:rsidRPr="007567CB">
        <w:t>subjekty, ktorým uvedené údaje budú poskytnuté alebo sprístupnené,</w:t>
      </w:r>
    </w:p>
    <w:p w:rsidR="00B2780C" w:rsidRPr="007567CB" w:rsidRDefault="00B2780C" w:rsidP="00E837B9">
      <w:pPr>
        <w:numPr>
          <w:ilvl w:val="3"/>
          <w:numId w:val="5"/>
        </w:numPr>
        <w:tabs>
          <w:tab w:val="left" w:pos="1276"/>
        </w:tabs>
        <w:suppressAutoHyphens w:val="0"/>
        <w:ind w:left="1701" w:hanging="283"/>
        <w:jc w:val="both"/>
      </w:pPr>
      <w:r w:rsidRPr="007567CB">
        <w:t>poučenie o právach tretích osôb v súvislosti s ochranou osobných údajov.</w:t>
      </w:r>
    </w:p>
    <w:p w:rsidR="00B2780C" w:rsidRPr="007567CB" w:rsidRDefault="00B2780C" w:rsidP="00E837B9">
      <w:pPr>
        <w:autoSpaceDE w:val="0"/>
        <w:ind w:left="1418"/>
        <w:jc w:val="both"/>
      </w:pPr>
      <w:r w:rsidRPr="007567CB">
        <w:t xml:space="preserve">Predbežná informácia pre žiadateľov o nenávratný finančný príspevok/o príspevok v zmysle čl. 13 Nariadenia Komisie (ES, </w:t>
      </w:r>
      <w:proofErr w:type="spellStart"/>
      <w:r w:rsidRPr="007567CB">
        <w:t>Euratom</w:t>
      </w:r>
      <w:proofErr w:type="spellEnd"/>
      <w:r w:rsidRPr="007567CB">
        <w:t>) č. 1302/2008 o centrálnej databáze vylúčených subjektov tvorí Prílohu č. 3.3 tejto výzvy.</w:t>
      </w:r>
    </w:p>
    <w:p w:rsidR="00B2780C" w:rsidRDefault="00B2780C" w:rsidP="00B2780C">
      <w:pPr>
        <w:autoSpaceDE w:val="0"/>
        <w:jc w:val="both"/>
      </w:pPr>
    </w:p>
    <w:p w:rsidR="00E96A92" w:rsidRPr="007567CB" w:rsidRDefault="00E96A92" w:rsidP="00B2780C">
      <w:pPr>
        <w:autoSpaceDE w:val="0"/>
        <w:jc w:val="both"/>
      </w:pPr>
    </w:p>
    <w:p w:rsidR="00B2780C" w:rsidRDefault="00B2780C" w:rsidP="008F1D88">
      <w:pPr>
        <w:numPr>
          <w:ilvl w:val="1"/>
          <w:numId w:val="6"/>
        </w:numPr>
        <w:tabs>
          <w:tab w:val="left" w:pos="289"/>
        </w:tabs>
        <w:spacing w:line="280" w:lineRule="exact"/>
        <w:ind w:left="567" w:hanging="283"/>
        <w:jc w:val="both"/>
        <w:rPr>
          <w:b/>
        </w:rPr>
      </w:pPr>
      <w:r w:rsidRPr="007567CB">
        <w:rPr>
          <w:b/>
        </w:rPr>
        <w:t xml:space="preserve"> Ďalšie podmienky poskytnutia príspevku</w:t>
      </w:r>
    </w:p>
    <w:p w:rsidR="00E837B9" w:rsidRPr="007567CB" w:rsidRDefault="00E837B9" w:rsidP="00E837B9">
      <w:pPr>
        <w:tabs>
          <w:tab w:val="left" w:pos="289"/>
        </w:tabs>
        <w:spacing w:line="280" w:lineRule="exact"/>
        <w:ind w:left="567"/>
        <w:jc w:val="both"/>
        <w:rPr>
          <w:b/>
        </w:rPr>
      </w:pPr>
    </w:p>
    <w:p w:rsidR="00B2780C" w:rsidRPr="007567CB" w:rsidRDefault="00B2780C" w:rsidP="008F1D88">
      <w:pPr>
        <w:pStyle w:val="Odsekzoznamu"/>
        <w:numPr>
          <w:ilvl w:val="2"/>
          <w:numId w:val="14"/>
        </w:numPr>
        <w:tabs>
          <w:tab w:val="left" w:pos="289"/>
        </w:tabs>
        <w:spacing w:line="280" w:lineRule="exact"/>
        <w:ind w:left="1418" w:hanging="709"/>
        <w:jc w:val="both"/>
        <w:rPr>
          <w:b/>
        </w:rPr>
      </w:pPr>
      <w:r w:rsidRPr="007567CB">
        <w:t xml:space="preserve">Žiadateľ </w:t>
      </w:r>
      <w:r w:rsidRPr="007567CB">
        <w:rPr>
          <w:lang w:eastAsia="sk-SK"/>
        </w:rPr>
        <w:t xml:space="preserve">musí spĺňať všetky relevantné všeobecné kritériá pre výber projektov, uvedené v rámci bodu 2.5.1. V prípade nesplnenia niektorého z týchto kritérií vydá PPA rozhodnutie o neschválení </w:t>
      </w:r>
      <w:proofErr w:type="spellStart"/>
      <w:r w:rsidRPr="007567CB">
        <w:rPr>
          <w:lang w:eastAsia="sk-SK"/>
        </w:rPr>
        <w:t>ŽoNFP</w:t>
      </w:r>
      <w:proofErr w:type="spellEnd"/>
    </w:p>
    <w:p w:rsidR="00B2780C" w:rsidRPr="007567CB" w:rsidRDefault="00B2780C" w:rsidP="00B2780C">
      <w:pPr>
        <w:pStyle w:val="Odsekzoznamu"/>
        <w:tabs>
          <w:tab w:val="left" w:pos="289"/>
        </w:tabs>
        <w:spacing w:line="280" w:lineRule="exact"/>
        <w:ind w:left="1020"/>
        <w:jc w:val="both"/>
      </w:pPr>
    </w:p>
    <w:p w:rsidR="00B2780C" w:rsidRPr="007567CB" w:rsidRDefault="00B2780C" w:rsidP="008F1D88">
      <w:pPr>
        <w:pStyle w:val="Odsekzoznamu"/>
        <w:numPr>
          <w:ilvl w:val="2"/>
          <w:numId w:val="14"/>
        </w:numPr>
        <w:tabs>
          <w:tab w:val="left" w:pos="289"/>
        </w:tabs>
        <w:spacing w:line="280" w:lineRule="exact"/>
        <w:ind w:left="1418" w:hanging="709"/>
        <w:jc w:val="both"/>
      </w:pPr>
      <w:proofErr w:type="spellStart"/>
      <w:r w:rsidRPr="007567CB">
        <w:t>ŽoNFP</w:t>
      </w:r>
      <w:proofErr w:type="spellEnd"/>
      <w:r w:rsidRPr="007567CB">
        <w:t xml:space="preserve"> musí byť kompletná po obsahovej stránke. </w:t>
      </w:r>
    </w:p>
    <w:p w:rsidR="00B2780C" w:rsidRPr="007567CB" w:rsidRDefault="00B2780C" w:rsidP="00B2780C">
      <w:pPr>
        <w:pStyle w:val="Odsekzoznamu"/>
        <w:tabs>
          <w:tab w:val="left" w:pos="289"/>
        </w:tabs>
        <w:spacing w:line="280" w:lineRule="exact"/>
        <w:ind w:left="1020"/>
        <w:jc w:val="both"/>
      </w:pPr>
    </w:p>
    <w:p w:rsidR="00B2780C" w:rsidRPr="007567CB" w:rsidRDefault="00B2780C" w:rsidP="008F1D88">
      <w:pPr>
        <w:pStyle w:val="Odsekzoznamu"/>
        <w:numPr>
          <w:ilvl w:val="2"/>
          <w:numId w:val="14"/>
        </w:numPr>
        <w:tabs>
          <w:tab w:val="left" w:pos="289"/>
        </w:tabs>
        <w:spacing w:line="280" w:lineRule="exact"/>
        <w:ind w:left="1418" w:hanging="709"/>
        <w:jc w:val="both"/>
      </w:pPr>
      <w:proofErr w:type="spellStart"/>
      <w:r w:rsidRPr="007567CB">
        <w:t>ŽoNFP</w:t>
      </w:r>
      <w:proofErr w:type="spellEnd"/>
      <w:r w:rsidRPr="007567CB">
        <w:t xml:space="preserve"> nebude schválená v prípade, že žiadateľ uviedol nepravdivé čestné vyhlásenie žiadateľa o konflikte záujmov.</w:t>
      </w:r>
    </w:p>
    <w:p w:rsidR="00B2780C" w:rsidRPr="007567CB" w:rsidRDefault="00B2780C" w:rsidP="00B2780C">
      <w:pPr>
        <w:pStyle w:val="Odsekzoznamu"/>
        <w:tabs>
          <w:tab w:val="left" w:pos="289"/>
        </w:tabs>
        <w:spacing w:line="280" w:lineRule="exact"/>
        <w:ind w:left="1020"/>
        <w:jc w:val="both"/>
      </w:pPr>
    </w:p>
    <w:p w:rsidR="00B2780C" w:rsidRPr="007567CB" w:rsidRDefault="00B2780C" w:rsidP="008F1D88">
      <w:pPr>
        <w:pStyle w:val="Odsekzoznamu"/>
        <w:numPr>
          <w:ilvl w:val="2"/>
          <w:numId w:val="14"/>
        </w:numPr>
        <w:tabs>
          <w:tab w:val="left" w:pos="289"/>
        </w:tabs>
        <w:spacing w:line="280" w:lineRule="exact"/>
        <w:ind w:left="1418" w:hanging="709"/>
        <w:jc w:val="both"/>
      </w:pPr>
      <w:r w:rsidRPr="007567CB">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w:t>
      </w:r>
      <w:proofErr w:type="spellStart"/>
      <w:r w:rsidRPr="007567CB">
        <w:t>ŽoNFP</w:t>
      </w:r>
      <w:proofErr w:type="spellEnd"/>
      <w:r w:rsidRPr="007567CB">
        <w:t xml:space="preserve">. </w:t>
      </w:r>
    </w:p>
    <w:p w:rsidR="00B2780C" w:rsidRPr="007567CB" w:rsidRDefault="00B2780C" w:rsidP="00B2780C">
      <w:pPr>
        <w:pStyle w:val="Odsekzoznamu"/>
        <w:tabs>
          <w:tab w:val="left" w:pos="289"/>
        </w:tabs>
        <w:spacing w:line="280" w:lineRule="exact"/>
        <w:ind w:left="1020"/>
        <w:jc w:val="both"/>
      </w:pPr>
    </w:p>
    <w:p w:rsidR="00B2780C" w:rsidRPr="007567CB" w:rsidRDefault="00B2780C" w:rsidP="00C75FBD">
      <w:pPr>
        <w:pStyle w:val="Odsekzoznamu"/>
        <w:numPr>
          <w:ilvl w:val="2"/>
          <w:numId w:val="14"/>
        </w:numPr>
        <w:tabs>
          <w:tab w:val="left" w:pos="289"/>
        </w:tabs>
        <w:spacing w:line="280" w:lineRule="exact"/>
        <w:ind w:left="1418" w:hanging="709"/>
        <w:jc w:val="both"/>
      </w:pPr>
      <w:r w:rsidRPr="007567CB">
        <w:t xml:space="preserve">Suma finančných prostriedkov z verejných zdrojov, požadovaná žiadateľom vo formulári </w:t>
      </w:r>
      <w:proofErr w:type="spellStart"/>
      <w:r w:rsidRPr="007567CB">
        <w:t>ŽoNFP</w:t>
      </w:r>
      <w:proofErr w:type="spellEnd"/>
      <w:r w:rsidRPr="007567CB">
        <w:t xml:space="preserve"> v deň jej predloženia na PPA je konečná a nie je možné ju v rámci procesu spracovávania dodatočne zvyšovať –  to platí aj v prípade, že sa sumy zmenia na základe obstarávania tovarov, stavebných prác a služieb.</w:t>
      </w:r>
    </w:p>
    <w:p w:rsidR="00B2780C" w:rsidRPr="007567CB" w:rsidRDefault="00B2780C" w:rsidP="00B2780C">
      <w:pPr>
        <w:pStyle w:val="Odsekzoznamu"/>
        <w:tabs>
          <w:tab w:val="left" w:pos="289"/>
        </w:tabs>
        <w:spacing w:line="280" w:lineRule="exact"/>
        <w:ind w:left="1020"/>
        <w:jc w:val="both"/>
      </w:pPr>
    </w:p>
    <w:p w:rsidR="00B2780C" w:rsidRPr="007567CB" w:rsidRDefault="00B2780C" w:rsidP="00C75FBD">
      <w:pPr>
        <w:pStyle w:val="Odsekzoznamu"/>
        <w:numPr>
          <w:ilvl w:val="2"/>
          <w:numId w:val="14"/>
        </w:numPr>
        <w:tabs>
          <w:tab w:val="left" w:pos="289"/>
        </w:tabs>
        <w:spacing w:line="280" w:lineRule="exact"/>
        <w:ind w:left="1418" w:hanging="709"/>
        <w:jc w:val="both"/>
      </w:pPr>
      <w:r w:rsidRPr="007567CB">
        <w:t xml:space="preserve">Neoprávnené výdavky  je žiadateľ povinný z požadovanej sumy odčleniť. </w:t>
      </w:r>
    </w:p>
    <w:p w:rsidR="00B2780C" w:rsidRPr="007567CB" w:rsidRDefault="00B2780C" w:rsidP="00B2780C">
      <w:pPr>
        <w:pStyle w:val="Odsekzoznamu"/>
        <w:tabs>
          <w:tab w:val="left" w:pos="289"/>
        </w:tabs>
        <w:spacing w:line="280" w:lineRule="exact"/>
        <w:ind w:left="1020"/>
        <w:jc w:val="both"/>
      </w:pPr>
    </w:p>
    <w:p w:rsidR="00B2780C" w:rsidRPr="007567CB" w:rsidRDefault="00B2780C" w:rsidP="00C75FBD">
      <w:pPr>
        <w:pStyle w:val="Odsekzoznamu"/>
        <w:numPr>
          <w:ilvl w:val="2"/>
          <w:numId w:val="14"/>
        </w:numPr>
        <w:tabs>
          <w:tab w:val="left" w:pos="289"/>
        </w:tabs>
        <w:spacing w:line="280" w:lineRule="exact"/>
        <w:ind w:left="1418" w:hanging="709"/>
        <w:jc w:val="both"/>
      </w:pPr>
      <w:r w:rsidRPr="007567CB">
        <w:t>Pred uzavretím Zmluvy o poskytnutí NFP  neexistuje právny nárok na poskytnutie nenávratného finančného príspevku.</w:t>
      </w:r>
    </w:p>
    <w:p w:rsidR="00B2780C" w:rsidRPr="007567CB" w:rsidRDefault="00B2780C" w:rsidP="00B2780C">
      <w:pPr>
        <w:pStyle w:val="Odsekzoznamu"/>
        <w:tabs>
          <w:tab w:val="left" w:pos="289"/>
        </w:tabs>
        <w:spacing w:line="280" w:lineRule="exact"/>
        <w:ind w:left="1020"/>
        <w:jc w:val="both"/>
      </w:pPr>
    </w:p>
    <w:p w:rsidR="00B2780C" w:rsidRPr="007567CB" w:rsidRDefault="00B2780C" w:rsidP="00C75FBD">
      <w:pPr>
        <w:pStyle w:val="Odsekzoznamu"/>
        <w:numPr>
          <w:ilvl w:val="2"/>
          <w:numId w:val="14"/>
        </w:numPr>
        <w:tabs>
          <w:tab w:val="left" w:pos="289"/>
        </w:tabs>
        <w:spacing w:line="280" w:lineRule="exact"/>
        <w:ind w:left="1418" w:hanging="709"/>
        <w:jc w:val="both"/>
      </w:pPr>
      <w:r w:rsidRPr="007567CB">
        <w:t xml:space="preserve">Žiadatelia môžu realizovať projekt aj pred uzatvorením zmluvy o poskytnutí NFP, znášajú však riziko, že projekt na financovanie z PRV nebude schválený. </w:t>
      </w:r>
    </w:p>
    <w:p w:rsidR="00B2780C" w:rsidRPr="007567CB" w:rsidRDefault="00B2780C" w:rsidP="00B2780C">
      <w:pPr>
        <w:pStyle w:val="Odsekzoznamu"/>
      </w:pPr>
    </w:p>
    <w:p w:rsidR="00B2780C" w:rsidRPr="007567CB" w:rsidRDefault="00B2780C" w:rsidP="00B2780C">
      <w:pPr>
        <w:autoSpaceDE w:val="0"/>
        <w:ind w:left="1430"/>
        <w:jc w:val="both"/>
        <w:rPr>
          <w:b/>
        </w:rPr>
      </w:pPr>
    </w:p>
    <w:p w:rsidR="00B2780C" w:rsidRPr="007567CB" w:rsidRDefault="00B2780C" w:rsidP="00E96A92">
      <w:pPr>
        <w:numPr>
          <w:ilvl w:val="1"/>
          <w:numId w:val="6"/>
        </w:numPr>
        <w:tabs>
          <w:tab w:val="left" w:pos="289"/>
        </w:tabs>
        <w:spacing w:line="280" w:lineRule="exact"/>
        <w:ind w:left="567" w:hanging="283"/>
        <w:jc w:val="both"/>
        <w:rPr>
          <w:b/>
        </w:rPr>
      </w:pPr>
      <w:r w:rsidRPr="007567CB">
        <w:rPr>
          <w:b/>
        </w:rPr>
        <w:t xml:space="preserve"> Zmeny vo výzve a zrušenie výzvy:</w:t>
      </w:r>
    </w:p>
    <w:p w:rsidR="00B2780C" w:rsidRPr="007567CB" w:rsidRDefault="00B2780C" w:rsidP="00B2780C">
      <w:pPr>
        <w:tabs>
          <w:tab w:val="left" w:pos="289"/>
        </w:tabs>
        <w:spacing w:line="280" w:lineRule="exact"/>
        <w:ind w:left="567"/>
        <w:jc w:val="both"/>
        <w:rPr>
          <w:b/>
        </w:rPr>
      </w:pPr>
    </w:p>
    <w:p w:rsidR="00B2780C" w:rsidRPr="007567CB" w:rsidRDefault="00B2780C" w:rsidP="00E96A92">
      <w:pPr>
        <w:pStyle w:val="Odsekzoznamu"/>
        <w:numPr>
          <w:ilvl w:val="2"/>
          <w:numId w:val="15"/>
        </w:numPr>
        <w:tabs>
          <w:tab w:val="left" w:pos="289"/>
        </w:tabs>
        <w:spacing w:line="280" w:lineRule="exact"/>
        <w:ind w:hanging="311"/>
        <w:jc w:val="both"/>
        <w:rPr>
          <w:b/>
        </w:rPr>
      </w:pPr>
      <w:r w:rsidRPr="007567CB">
        <w:rPr>
          <w:b/>
        </w:rPr>
        <w:t>Zmeny vo výzve</w:t>
      </w:r>
    </w:p>
    <w:p w:rsidR="00B2780C" w:rsidRPr="007567CB" w:rsidRDefault="00B2780C" w:rsidP="00B2780C">
      <w:pPr>
        <w:tabs>
          <w:tab w:val="left" w:pos="289"/>
          <w:tab w:val="left" w:pos="343"/>
        </w:tabs>
        <w:spacing w:line="280" w:lineRule="exact"/>
        <w:ind w:left="321" w:hanging="675"/>
      </w:pPr>
    </w:p>
    <w:p w:rsidR="00B2780C" w:rsidRPr="007567CB" w:rsidRDefault="00B2780C" w:rsidP="00E96A92">
      <w:pPr>
        <w:numPr>
          <w:ilvl w:val="3"/>
          <w:numId w:val="1"/>
        </w:numPr>
        <w:autoSpaceDE w:val="0"/>
        <w:spacing w:line="280" w:lineRule="exact"/>
        <w:ind w:left="1701" w:hanging="283"/>
        <w:jc w:val="both"/>
      </w:pPr>
      <w:r w:rsidRPr="007567CB">
        <w:t>PPA môže po zverejnení výzvy zmeniť formálne náležitosti výzvy.</w:t>
      </w:r>
    </w:p>
    <w:p w:rsidR="00B2780C" w:rsidRPr="007567CB" w:rsidRDefault="00B2780C" w:rsidP="00E96A92">
      <w:pPr>
        <w:numPr>
          <w:ilvl w:val="3"/>
          <w:numId w:val="1"/>
        </w:numPr>
        <w:autoSpaceDE w:val="0"/>
        <w:spacing w:line="280" w:lineRule="exact"/>
        <w:ind w:left="1701" w:hanging="283"/>
        <w:jc w:val="both"/>
      </w:pPr>
      <w:r w:rsidRPr="007567CB">
        <w:t>PPA môže výzvu zmeniť do termínu uzavretia výzvy, ak sa zmenou podstatným spôsobom nezmenia podmienky poskytnutia príspevku, pričom následne termín uzavretia výzvy (v prípade potreby) primerane posunie.</w:t>
      </w:r>
    </w:p>
    <w:p w:rsidR="00B2780C" w:rsidRPr="007567CB" w:rsidRDefault="00B2780C" w:rsidP="00E96A92">
      <w:pPr>
        <w:numPr>
          <w:ilvl w:val="3"/>
          <w:numId w:val="1"/>
        </w:numPr>
        <w:autoSpaceDE w:val="0"/>
        <w:spacing w:line="280" w:lineRule="exact"/>
        <w:ind w:left="1701" w:hanging="283"/>
        <w:jc w:val="both"/>
      </w:pPr>
      <w:r w:rsidRPr="007567CB">
        <w:lastRenderedPageBreak/>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B2780C" w:rsidRPr="007567CB" w:rsidRDefault="00B2780C" w:rsidP="00E96A92">
      <w:pPr>
        <w:numPr>
          <w:ilvl w:val="3"/>
          <w:numId w:val="1"/>
        </w:numPr>
        <w:autoSpaceDE w:val="0"/>
        <w:spacing w:line="280" w:lineRule="exact"/>
        <w:ind w:left="1701" w:hanging="283"/>
        <w:jc w:val="both"/>
      </w:pPr>
      <w:r w:rsidRPr="007567CB">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B2780C" w:rsidRPr="007567CB" w:rsidRDefault="00B2780C" w:rsidP="00E96A92">
      <w:pPr>
        <w:numPr>
          <w:ilvl w:val="3"/>
          <w:numId w:val="1"/>
        </w:numPr>
        <w:autoSpaceDE w:val="0"/>
        <w:spacing w:line="280" w:lineRule="exact"/>
        <w:ind w:left="1701" w:hanging="283"/>
        <w:jc w:val="both"/>
      </w:pPr>
      <w:r w:rsidRPr="007567CB">
        <w:t xml:space="preserve">Zmeny výzvy a jej príloh, vrátane zdôvodnenia zmien budú zverejňované formou oznámenia na webovom sídle PPA: </w:t>
      </w:r>
      <w:hyperlink r:id="rId13" w:history="1">
        <w:r w:rsidRPr="00C06216">
          <w:rPr>
            <w:rStyle w:val="Hypertextovprepojenie"/>
            <w:rFonts w:ascii="Times New Roman" w:hAnsi="Times New Roman"/>
            <w:sz w:val="24"/>
          </w:rPr>
          <w:t>http://www.apa.sk</w:t>
        </w:r>
      </w:hyperlink>
      <w:r w:rsidRPr="00C06216">
        <w:t>.</w:t>
      </w:r>
    </w:p>
    <w:p w:rsidR="00B2780C" w:rsidRPr="007567CB" w:rsidRDefault="00B2780C" w:rsidP="00E96A92">
      <w:pPr>
        <w:numPr>
          <w:ilvl w:val="3"/>
          <w:numId w:val="1"/>
        </w:numPr>
        <w:autoSpaceDE w:val="0"/>
        <w:spacing w:line="280" w:lineRule="exact"/>
        <w:ind w:left="1701" w:hanging="283"/>
        <w:jc w:val="both"/>
        <w:rPr>
          <w:b/>
          <w:bCs/>
        </w:rPr>
      </w:pPr>
      <w:r w:rsidRPr="007567CB">
        <w:t>Po uzavretí výzvy je možné meniť indikatívnu výšku finančných prostriedkov určených na vyčerpanie pre jednotlivé oblasti vo výzve.</w:t>
      </w:r>
    </w:p>
    <w:p w:rsidR="00B2780C" w:rsidRPr="007567CB" w:rsidRDefault="00B2780C" w:rsidP="00B2780C">
      <w:pPr>
        <w:autoSpaceDE w:val="0"/>
        <w:spacing w:line="280" w:lineRule="exact"/>
        <w:ind w:left="709"/>
        <w:jc w:val="both"/>
        <w:rPr>
          <w:b/>
          <w:bCs/>
        </w:rPr>
      </w:pPr>
    </w:p>
    <w:p w:rsidR="00B2780C" w:rsidRPr="007567CB" w:rsidRDefault="00B2780C" w:rsidP="00E96A92">
      <w:pPr>
        <w:pStyle w:val="Odsekzoznamu"/>
        <w:numPr>
          <w:ilvl w:val="2"/>
          <w:numId w:val="15"/>
        </w:numPr>
        <w:tabs>
          <w:tab w:val="left" w:pos="289"/>
        </w:tabs>
        <w:spacing w:line="280" w:lineRule="exact"/>
        <w:ind w:hanging="311"/>
        <w:jc w:val="both"/>
        <w:rPr>
          <w:b/>
        </w:rPr>
      </w:pPr>
      <w:r w:rsidRPr="007567CB">
        <w:rPr>
          <w:b/>
        </w:rPr>
        <w:t>Zrušenie výzvy:</w:t>
      </w:r>
    </w:p>
    <w:p w:rsidR="00B2780C" w:rsidRPr="007567CB" w:rsidRDefault="00B2780C" w:rsidP="00B2780C">
      <w:pPr>
        <w:tabs>
          <w:tab w:val="left" w:pos="289"/>
          <w:tab w:val="left" w:pos="343"/>
        </w:tabs>
        <w:spacing w:line="280" w:lineRule="exact"/>
        <w:ind w:left="321" w:hanging="675"/>
        <w:rPr>
          <w:b/>
          <w:bCs/>
        </w:rPr>
      </w:pPr>
    </w:p>
    <w:p w:rsidR="00B2780C" w:rsidRPr="007567CB" w:rsidRDefault="00B2780C" w:rsidP="00E96A92">
      <w:pPr>
        <w:numPr>
          <w:ilvl w:val="3"/>
          <w:numId w:val="1"/>
        </w:numPr>
        <w:autoSpaceDE w:val="0"/>
        <w:spacing w:line="280" w:lineRule="exact"/>
        <w:ind w:left="1701" w:hanging="283"/>
        <w:jc w:val="both"/>
      </w:pPr>
      <w:r w:rsidRPr="007567CB">
        <w:t>PPA môže výzvu zrušiť do vydania prvého rozhodnutia o žiadosti, podanej na základe výzvy, ak dôjde k podstatnej zmene podmienok poskytnutia príspevku alebo ak z objektívnych dôvodov nie je možné financovať projekty na základe výzvy.</w:t>
      </w:r>
    </w:p>
    <w:p w:rsidR="00B2780C" w:rsidRPr="007567CB" w:rsidRDefault="00B2780C" w:rsidP="00E96A92">
      <w:pPr>
        <w:numPr>
          <w:ilvl w:val="3"/>
          <w:numId w:val="1"/>
        </w:numPr>
        <w:autoSpaceDE w:val="0"/>
        <w:spacing w:line="280" w:lineRule="exact"/>
        <w:ind w:left="1701" w:hanging="283"/>
        <w:jc w:val="both"/>
      </w:pPr>
      <w:r w:rsidRPr="007567CB">
        <w:t xml:space="preserve">PPA predloženú žiadosť podanú do dátumu zrušenia výzvy žiadateľovi vráti alebo o žiadosti rozhodne, ak je možné rozhodnúť podľa podmienok poskytnutia príspevku platných ku dňu predloženia </w:t>
      </w:r>
      <w:proofErr w:type="spellStart"/>
      <w:r w:rsidRPr="007567CB">
        <w:t>ŽoNFP</w:t>
      </w:r>
      <w:proofErr w:type="spellEnd"/>
      <w:r w:rsidRPr="007567CB">
        <w:t>, pokiaľ už nebolo rozhodnuté.</w:t>
      </w:r>
    </w:p>
    <w:p w:rsidR="00B2780C" w:rsidRPr="007567CB" w:rsidRDefault="00B2780C" w:rsidP="00E96A92">
      <w:pPr>
        <w:numPr>
          <w:ilvl w:val="3"/>
          <w:numId w:val="1"/>
        </w:numPr>
        <w:autoSpaceDE w:val="0"/>
        <w:spacing w:line="280" w:lineRule="exact"/>
        <w:ind w:left="1701" w:hanging="283"/>
        <w:jc w:val="both"/>
      </w:pPr>
      <w:r w:rsidRPr="007567CB">
        <w:t>Zrušenie výzvy, vrátane zdôvodnenia zrušenia bude zverejnené formou oznámenia na webovom sídle PPA</w:t>
      </w:r>
      <w:r w:rsidRPr="00C06216">
        <w:t xml:space="preserve">: </w:t>
      </w:r>
      <w:hyperlink r:id="rId14" w:history="1">
        <w:r w:rsidRPr="00C06216">
          <w:rPr>
            <w:rStyle w:val="Hypertextovprepojenie"/>
            <w:rFonts w:ascii="Times New Roman" w:hAnsi="Times New Roman"/>
            <w:sz w:val="24"/>
          </w:rPr>
          <w:t>http://www.apa.sk</w:t>
        </w:r>
      </w:hyperlink>
      <w:r w:rsidRPr="007567CB">
        <w:t>.</w:t>
      </w:r>
    </w:p>
    <w:p w:rsidR="00B2780C" w:rsidRPr="007567CB" w:rsidRDefault="00B2780C" w:rsidP="00B2780C">
      <w:pPr>
        <w:autoSpaceDE w:val="0"/>
        <w:spacing w:line="280" w:lineRule="exact"/>
        <w:ind w:left="709"/>
        <w:jc w:val="both"/>
      </w:pPr>
    </w:p>
    <w:p w:rsidR="00B2780C" w:rsidRPr="007567CB" w:rsidRDefault="00B2780C" w:rsidP="00B2780C">
      <w:pPr>
        <w:autoSpaceDE w:val="0"/>
        <w:ind w:left="1146"/>
        <w:jc w:val="both"/>
      </w:pPr>
    </w:p>
    <w:p w:rsidR="00B2780C" w:rsidRPr="007567CB" w:rsidRDefault="00B2780C" w:rsidP="00B2780C">
      <w:pPr>
        <w:numPr>
          <w:ilvl w:val="0"/>
          <w:numId w:val="2"/>
        </w:numPr>
        <w:tabs>
          <w:tab w:val="left" w:pos="289"/>
        </w:tabs>
        <w:spacing w:line="280" w:lineRule="exact"/>
        <w:ind w:hanging="720"/>
        <w:jc w:val="both"/>
        <w:rPr>
          <w:b/>
          <w:bCs/>
        </w:rPr>
      </w:pPr>
      <w:r w:rsidRPr="007567CB">
        <w:rPr>
          <w:b/>
          <w:bCs/>
        </w:rPr>
        <w:t>Prílohy:</w:t>
      </w:r>
    </w:p>
    <w:p w:rsidR="00B2780C" w:rsidRPr="00BB51AD" w:rsidRDefault="00B2780C" w:rsidP="00E96A92">
      <w:pPr>
        <w:pStyle w:val="Odsekzoznamu"/>
        <w:numPr>
          <w:ilvl w:val="1"/>
          <w:numId w:val="2"/>
        </w:numPr>
        <w:tabs>
          <w:tab w:val="left" w:pos="289"/>
        </w:tabs>
        <w:spacing w:line="280" w:lineRule="exact"/>
        <w:ind w:left="709" w:hanging="425"/>
        <w:jc w:val="both"/>
        <w:rPr>
          <w:b/>
        </w:rPr>
      </w:pPr>
      <w:r w:rsidRPr="00BB51AD">
        <w:rPr>
          <w:b/>
        </w:rPr>
        <w:t xml:space="preserve">Formulár žiadosti o nenávratný finančný príspevok </w:t>
      </w:r>
    </w:p>
    <w:p w:rsidR="00B2780C" w:rsidRPr="007567CB" w:rsidRDefault="00B2780C" w:rsidP="00E96A92">
      <w:pPr>
        <w:numPr>
          <w:ilvl w:val="1"/>
          <w:numId w:val="2"/>
        </w:numPr>
        <w:tabs>
          <w:tab w:val="left" w:pos="289"/>
        </w:tabs>
        <w:spacing w:line="280" w:lineRule="exact"/>
        <w:ind w:left="709" w:hanging="425"/>
        <w:jc w:val="both"/>
        <w:rPr>
          <w:b/>
        </w:rPr>
      </w:pPr>
      <w:r w:rsidRPr="007567CB">
        <w:rPr>
          <w:b/>
        </w:rPr>
        <w:t>Príručka pre žiadateľa o poskytnutie nenávratného finančného príspevku</w:t>
      </w:r>
    </w:p>
    <w:p w:rsidR="00B2780C" w:rsidRPr="007567CB" w:rsidRDefault="00B2780C" w:rsidP="00E96A92">
      <w:pPr>
        <w:numPr>
          <w:ilvl w:val="1"/>
          <w:numId w:val="2"/>
        </w:numPr>
        <w:tabs>
          <w:tab w:val="left" w:pos="289"/>
        </w:tabs>
        <w:spacing w:line="280" w:lineRule="exact"/>
        <w:ind w:left="709" w:hanging="425"/>
        <w:jc w:val="both"/>
        <w:rPr>
          <w:b/>
        </w:rPr>
      </w:pPr>
      <w:r w:rsidRPr="007567CB">
        <w:rPr>
          <w:b/>
        </w:rPr>
        <w:t xml:space="preserve">Predbežná informácia pre žiadateľov o nenávratný finančný príspevok/o príspevok v zmysle čl. 13 Nariadenia Komisie (ES, </w:t>
      </w:r>
      <w:proofErr w:type="spellStart"/>
      <w:r w:rsidRPr="007567CB">
        <w:rPr>
          <w:b/>
        </w:rPr>
        <w:t>Euratom</w:t>
      </w:r>
      <w:proofErr w:type="spellEnd"/>
      <w:r w:rsidRPr="007567CB">
        <w:rPr>
          <w:b/>
        </w:rPr>
        <w:t>) č. 1302/2008 o centrálnej databáze vylúčených subjektov</w:t>
      </w:r>
    </w:p>
    <w:p w:rsidR="00B2780C" w:rsidRPr="007567CB" w:rsidRDefault="00B2780C" w:rsidP="00E96A92">
      <w:pPr>
        <w:numPr>
          <w:ilvl w:val="1"/>
          <w:numId w:val="2"/>
        </w:numPr>
        <w:tabs>
          <w:tab w:val="left" w:pos="289"/>
        </w:tabs>
        <w:spacing w:line="280" w:lineRule="exact"/>
        <w:ind w:left="709" w:hanging="425"/>
        <w:jc w:val="both"/>
        <w:rPr>
          <w:b/>
          <w:lang w:eastAsia="sk-SK"/>
        </w:rPr>
      </w:pPr>
      <w:r w:rsidRPr="00BB51AD">
        <w:rPr>
          <w:b/>
          <w:lang w:eastAsia="sk-SK"/>
        </w:rPr>
        <w:t>Čestné vyhlásenie žiadateľa o kompletnosti dokumentácie z verejného obstarávania</w:t>
      </w:r>
    </w:p>
    <w:p w:rsidR="00B2780C" w:rsidRPr="007567CB" w:rsidRDefault="00B2780C" w:rsidP="00B2780C">
      <w:pPr>
        <w:tabs>
          <w:tab w:val="left" w:pos="289"/>
        </w:tabs>
        <w:spacing w:line="280" w:lineRule="exact"/>
        <w:ind w:left="142"/>
        <w:jc w:val="both"/>
        <w:rPr>
          <w:b/>
        </w:rPr>
      </w:pPr>
    </w:p>
    <w:p w:rsidR="00B2780C" w:rsidRPr="007567CB" w:rsidRDefault="00B2780C" w:rsidP="00B2780C">
      <w:pPr>
        <w:pStyle w:val="Normlnywebov"/>
        <w:spacing w:before="120" w:after="0"/>
        <w:ind w:left="357" w:firstLine="0"/>
        <w:rPr>
          <w:rFonts w:ascii="Times New Roman" w:hAnsi="Times New Roman" w:cs="Times New Roman"/>
          <w:sz w:val="24"/>
          <w:szCs w:val="24"/>
        </w:rPr>
      </w:pPr>
    </w:p>
    <w:p w:rsidR="00B2780C" w:rsidRPr="007567CB" w:rsidRDefault="00B2780C" w:rsidP="00B2780C">
      <w:pPr>
        <w:pStyle w:val="Normlnywebov"/>
        <w:spacing w:before="0" w:after="0"/>
        <w:ind w:left="360" w:firstLine="0"/>
        <w:rPr>
          <w:rFonts w:ascii="Times New Roman" w:hAnsi="Times New Roman" w:cs="Times New Roman"/>
          <w:sz w:val="24"/>
          <w:szCs w:val="24"/>
        </w:rPr>
      </w:pPr>
    </w:p>
    <w:p w:rsidR="00B2780C" w:rsidRPr="007567CB" w:rsidRDefault="00B2780C" w:rsidP="00B2780C">
      <w:r w:rsidRPr="00854267">
        <w:t xml:space="preserve">V Bratislave   </w:t>
      </w:r>
      <w:r w:rsidR="00A84A27" w:rsidRPr="00854267">
        <w:t>1</w:t>
      </w:r>
      <w:r w:rsidR="002876DA">
        <w:t>7</w:t>
      </w:r>
      <w:r w:rsidRPr="00854267">
        <w:t>.</w:t>
      </w:r>
      <w:r w:rsidR="00A84A27" w:rsidRPr="00854267">
        <w:t>12</w:t>
      </w:r>
      <w:r w:rsidR="00E96A92" w:rsidRPr="00854267">
        <w:t>.</w:t>
      </w:r>
      <w:r w:rsidRPr="00854267">
        <w:t>2015</w:t>
      </w:r>
      <w:r w:rsidRPr="007567CB">
        <w:t xml:space="preserve">        </w:t>
      </w:r>
    </w:p>
    <w:p w:rsidR="00B2780C" w:rsidRPr="007567CB" w:rsidRDefault="00B2780C" w:rsidP="00B2780C">
      <w:pPr>
        <w:pStyle w:val="Zarkazkladnhotextu21"/>
        <w:rPr>
          <w:sz w:val="24"/>
          <w:szCs w:val="24"/>
        </w:rPr>
      </w:pPr>
      <w:r w:rsidRPr="007567CB">
        <w:rPr>
          <w:sz w:val="24"/>
          <w:szCs w:val="24"/>
        </w:rPr>
        <w:t xml:space="preserve">                                               </w:t>
      </w:r>
    </w:p>
    <w:p w:rsidR="00B2780C" w:rsidRPr="007567CB" w:rsidRDefault="00B2780C" w:rsidP="00B2780C">
      <w:pPr>
        <w:tabs>
          <w:tab w:val="left" w:pos="5685"/>
        </w:tabs>
        <w:ind w:left="6372"/>
        <w:rPr>
          <w:rFonts w:eastAsia="Arial Unicode MS"/>
          <w:b/>
          <w:bCs/>
        </w:rPr>
      </w:pPr>
    </w:p>
    <w:p w:rsidR="00B2780C" w:rsidRPr="007567CB" w:rsidRDefault="00B2780C" w:rsidP="00B2780C">
      <w:pPr>
        <w:tabs>
          <w:tab w:val="left" w:pos="5685"/>
        </w:tabs>
        <w:ind w:left="6372"/>
        <w:rPr>
          <w:rFonts w:eastAsia="Arial Unicode MS"/>
          <w:b/>
          <w:bCs/>
        </w:rPr>
      </w:pPr>
    </w:p>
    <w:p w:rsidR="00B2780C" w:rsidRPr="000D134D" w:rsidRDefault="00B2780C" w:rsidP="00B2780C">
      <w:pPr>
        <w:tabs>
          <w:tab w:val="left" w:pos="5685"/>
        </w:tabs>
        <w:ind w:left="6372" w:hanging="276"/>
      </w:pPr>
      <w:r w:rsidRPr="007567CB">
        <w:rPr>
          <w:color w:val="000000"/>
        </w:rPr>
        <w:t xml:space="preserve">MVDr. Stanislav </w:t>
      </w:r>
      <w:proofErr w:type="spellStart"/>
      <w:r w:rsidRPr="007567CB">
        <w:rPr>
          <w:color w:val="000000"/>
        </w:rPr>
        <w:t>Grobár</w:t>
      </w:r>
      <w:proofErr w:type="spellEnd"/>
      <w:r w:rsidRPr="007567CB">
        <w:t xml:space="preserve"> generálny riaditeľ</w:t>
      </w:r>
    </w:p>
    <w:p w:rsidR="00B2780C" w:rsidRDefault="00B2780C" w:rsidP="00B2780C"/>
    <w:p w:rsidR="00AC6BD1" w:rsidRDefault="00AC6BD1"/>
    <w:sectPr w:rsidR="00AC6BD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8A" w:rsidRDefault="00D70E8A">
      <w:r>
        <w:separator/>
      </w:r>
    </w:p>
  </w:endnote>
  <w:endnote w:type="continuationSeparator" w:id="0">
    <w:p w:rsidR="00D70E8A" w:rsidRDefault="00D7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26380"/>
      <w:docPartObj>
        <w:docPartGallery w:val="Page Numbers (Bottom of Page)"/>
        <w:docPartUnique/>
      </w:docPartObj>
    </w:sdtPr>
    <w:sdtEndPr/>
    <w:sdtContent>
      <w:p w:rsidR="00263A40" w:rsidRDefault="00263A40">
        <w:pPr>
          <w:pStyle w:val="Pta"/>
          <w:jc w:val="right"/>
        </w:pPr>
        <w:r>
          <w:fldChar w:fldCharType="begin"/>
        </w:r>
        <w:r>
          <w:instrText>PAGE   \* MERGEFORMAT</w:instrText>
        </w:r>
        <w:r>
          <w:fldChar w:fldCharType="separate"/>
        </w:r>
        <w:r w:rsidR="0003752C">
          <w:rPr>
            <w:noProof/>
          </w:rPr>
          <w:t>2</w:t>
        </w:r>
        <w:r>
          <w:fldChar w:fldCharType="end"/>
        </w:r>
      </w:p>
    </w:sdtContent>
  </w:sdt>
  <w:p w:rsidR="00263A40" w:rsidRDefault="00263A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8A" w:rsidRDefault="00D70E8A">
      <w:r>
        <w:separator/>
      </w:r>
    </w:p>
  </w:footnote>
  <w:footnote w:type="continuationSeparator" w:id="0">
    <w:p w:rsidR="00D70E8A" w:rsidRDefault="00D70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nsid w:val="0000000F"/>
    <w:multiLevelType w:val="multilevel"/>
    <w:tmpl w:val="A82AF878"/>
    <w:name w:val="WW8Num15"/>
    <w:lvl w:ilvl="0">
      <w:start w:val="1"/>
      <w:numFmt w:val="decimal"/>
      <w:lvlText w:val="%1."/>
      <w:lvlJc w:val="left"/>
      <w:pPr>
        <w:tabs>
          <w:tab w:val="num" w:pos="708"/>
        </w:tabs>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02881"/>
    <w:multiLevelType w:val="hybridMultilevel"/>
    <w:tmpl w:val="8CB691E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8FD8CB64">
      <w:start w:val="1"/>
      <w:numFmt w:val="decimal"/>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nsid w:val="1ED87EB7"/>
    <w:multiLevelType w:val="hybridMultilevel"/>
    <w:tmpl w:val="066A4998"/>
    <w:lvl w:ilvl="0" w:tplc="84D69002">
      <w:start w:val="1"/>
      <w:numFmt w:val="decimal"/>
      <w:lvlText w:val="%1)"/>
      <w:lvlJc w:val="left"/>
      <w:pPr>
        <w:ind w:left="1069" w:hanging="360"/>
      </w:pPr>
      <w:rPr>
        <w:rFonts w:hint="default"/>
        <w:b w:val="0"/>
      </w:rPr>
    </w:lvl>
    <w:lvl w:ilvl="1" w:tplc="CBBA51D0">
      <w:start w:val="1"/>
      <w:numFmt w:val="upperLetter"/>
      <w:lvlText w:val="%2)"/>
      <w:lvlJc w:val="left"/>
      <w:pPr>
        <w:ind w:left="1789" w:hanging="360"/>
      </w:pPr>
      <w:rPr>
        <w:rFonts w:hint="default"/>
      </w:rPr>
    </w:lvl>
    <w:lvl w:ilvl="2" w:tplc="041B001B" w:tentative="1">
      <w:start w:val="1"/>
      <w:numFmt w:val="lowerRoman"/>
      <w:lvlText w:val="%3."/>
      <w:lvlJc w:val="right"/>
      <w:pPr>
        <w:ind w:left="2509" w:hanging="180"/>
      </w:pPr>
    </w:lvl>
    <w:lvl w:ilvl="3" w:tplc="C89EE046">
      <w:start w:val="1"/>
      <w:numFmt w:val="decimal"/>
      <w:lvlText w:val="%4."/>
      <w:lvlJc w:val="left"/>
      <w:pPr>
        <w:ind w:left="360" w:hanging="360"/>
      </w:pPr>
      <w:rPr>
        <w:b w:val="0"/>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nsid w:val="29276FD6"/>
    <w:multiLevelType w:val="hybridMultilevel"/>
    <w:tmpl w:val="AD10EE42"/>
    <w:lvl w:ilvl="0" w:tplc="3C4CA378">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nsid w:val="30573B08"/>
    <w:multiLevelType w:val="hybridMultilevel"/>
    <w:tmpl w:val="C86EDA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DED7CCC"/>
    <w:multiLevelType w:val="hybridMultilevel"/>
    <w:tmpl w:val="ED78AA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4C047EDF"/>
    <w:multiLevelType w:val="hybridMultilevel"/>
    <w:tmpl w:val="2DA0DA90"/>
    <w:lvl w:ilvl="0" w:tplc="041B000F">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nsid w:val="557B139E"/>
    <w:multiLevelType w:val="hybridMultilevel"/>
    <w:tmpl w:val="DBEC8502"/>
    <w:lvl w:ilvl="0" w:tplc="041B000F">
      <w:start w:val="1"/>
      <w:numFmt w:val="decimal"/>
      <w:lvlText w:val="%1."/>
      <w:lvlJc w:val="left"/>
      <w:pPr>
        <w:ind w:left="720" w:hanging="360"/>
      </w:pPr>
    </w:lvl>
    <w:lvl w:ilvl="1" w:tplc="634610F8">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DE96AC2E">
      <w:start w:val="1"/>
      <w:numFmt w:val="decimal"/>
      <w:lvlText w:val="%4."/>
      <w:lvlJc w:val="left"/>
      <w:pPr>
        <w:ind w:left="2880" w:hanging="360"/>
      </w:pPr>
      <w:rPr>
        <w:rFonts w:hint="default"/>
        <w:b/>
        <w:i w:val="0"/>
        <w:sz w:val="24"/>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AB57FD7"/>
    <w:multiLevelType w:val="hybridMultilevel"/>
    <w:tmpl w:val="210E630A"/>
    <w:lvl w:ilvl="0" w:tplc="3A729AEE">
      <w:start w:val="1"/>
      <w:numFmt w:val="lowerLetter"/>
      <w:lvlText w:val="%1)"/>
      <w:lvlJc w:val="left"/>
      <w:pPr>
        <w:ind w:left="1140" w:hanging="360"/>
      </w:pPr>
      <w:rPr>
        <w:rFonts w:hint="default"/>
      </w:r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2">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771D5ACE"/>
    <w:multiLevelType w:val="multilevel"/>
    <w:tmpl w:val="AEEAD44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5">
    <w:nsid w:val="77EB4C03"/>
    <w:multiLevelType w:val="multilevel"/>
    <w:tmpl w:val="82F8E24C"/>
    <w:lvl w:ilvl="0">
      <w:start w:val="1"/>
      <w:numFmt w:val="decimal"/>
      <w:lvlText w:val="%1."/>
      <w:lvlJc w:val="left"/>
      <w:pPr>
        <w:tabs>
          <w:tab w:val="num" w:pos="0"/>
        </w:tabs>
        <w:ind w:left="360" w:hanging="360"/>
      </w:pPr>
      <w:rPr>
        <w:rFonts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26">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21"/>
  </w:num>
  <w:num w:numId="9">
    <w:abstractNumId w:val="8"/>
  </w:num>
  <w:num w:numId="10">
    <w:abstractNumId w:val="10"/>
  </w:num>
  <w:num w:numId="11">
    <w:abstractNumId w:val="11"/>
  </w:num>
  <w:num w:numId="12">
    <w:abstractNumId w:val="17"/>
  </w:num>
  <w:num w:numId="13">
    <w:abstractNumId w:val="27"/>
  </w:num>
  <w:num w:numId="14">
    <w:abstractNumId w:val="24"/>
  </w:num>
  <w:num w:numId="15">
    <w:abstractNumId w:val="12"/>
  </w:num>
  <w:num w:numId="16">
    <w:abstractNumId w:val="16"/>
  </w:num>
  <w:num w:numId="17">
    <w:abstractNumId w:val="26"/>
  </w:num>
  <w:num w:numId="18">
    <w:abstractNumId w:val="6"/>
  </w:num>
  <w:num w:numId="19">
    <w:abstractNumId w:val="23"/>
  </w:num>
  <w:num w:numId="20">
    <w:abstractNumId w:val="9"/>
  </w:num>
  <w:num w:numId="21">
    <w:abstractNumId w:val="7"/>
  </w:num>
  <w:num w:numId="22">
    <w:abstractNumId w:val="18"/>
  </w:num>
  <w:num w:numId="23">
    <w:abstractNumId w:val="15"/>
  </w:num>
  <w:num w:numId="24">
    <w:abstractNumId w:val="22"/>
  </w:num>
  <w:num w:numId="25">
    <w:abstractNumId w:val="20"/>
  </w:num>
  <w:num w:numId="26">
    <w:abstractNumId w:val="19"/>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0C"/>
    <w:rsid w:val="0000037D"/>
    <w:rsid w:val="0003752C"/>
    <w:rsid w:val="0004759C"/>
    <w:rsid w:val="000F4FF9"/>
    <w:rsid w:val="001822B2"/>
    <w:rsid w:val="00196CA7"/>
    <w:rsid w:val="00210005"/>
    <w:rsid w:val="00263A40"/>
    <w:rsid w:val="002876DA"/>
    <w:rsid w:val="002B7FB2"/>
    <w:rsid w:val="003A252D"/>
    <w:rsid w:val="003A414E"/>
    <w:rsid w:val="003A5F53"/>
    <w:rsid w:val="003E6859"/>
    <w:rsid w:val="003F6576"/>
    <w:rsid w:val="00425C1E"/>
    <w:rsid w:val="00463EF9"/>
    <w:rsid w:val="004A47DB"/>
    <w:rsid w:val="004E4A9C"/>
    <w:rsid w:val="005A448E"/>
    <w:rsid w:val="005A5E02"/>
    <w:rsid w:val="005B5EDB"/>
    <w:rsid w:val="006223E2"/>
    <w:rsid w:val="006938BF"/>
    <w:rsid w:val="006B6FC7"/>
    <w:rsid w:val="00714600"/>
    <w:rsid w:val="00835837"/>
    <w:rsid w:val="00854267"/>
    <w:rsid w:val="008B0740"/>
    <w:rsid w:val="008F1D88"/>
    <w:rsid w:val="00943D47"/>
    <w:rsid w:val="009744D3"/>
    <w:rsid w:val="00980FA3"/>
    <w:rsid w:val="00983D5D"/>
    <w:rsid w:val="009B7892"/>
    <w:rsid w:val="009D5710"/>
    <w:rsid w:val="00A12AD5"/>
    <w:rsid w:val="00A84A27"/>
    <w:rsid w:val="00AA1B27"/>
    <w:rsid w:val="00AA7F1D"/>
    <w:rsid w:val="00AC1D17"/>
    <w:rsid w:val="00AC23DF"/>
    <w:rsid w:val="00AC6BD1"/>
    <w:rsid w:val="00B2780C"/>
    <w:rsid w:val="00C06216"/>
    <w:rsid w:val="00C33A99"/>
    <w:rsid w:val="00C37964"/>
    <w:rsid w:val="00C73146"/>
    <w:rsid w:val="00C75FBD"/>
    <w:rsid w:val="00D04179"/>
    <w:rsid w:val="00D2347E"/>
    <w:rsid w:val="00D70E8A"/>
    <w:rsid w:val="00DA4EE3"/>
    <w:rsid w:val="00DB0A37"/>
    <w:rsid w:val="00DF7381"/>
    <w:rsid w:val="00DF7694"/>
    <w:rsid w:val="00E65F0D"/>
    <w:rsid w:val="00E837B9"/>
    <w:rsid w:val="00E96A92"/>
    <w:rsid w:val="00F12C6D"/>
    <w:rsid w:val="00F73C15"/>
    <w:rsid w:val="00FE0B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780C"/>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2780C"/>
    <w:rPr>
      <w:rFonts w:ascii="Arial" w:hAnsi="Arial" w:cs="Times New Roman"/>
      <w:color w:val="008000"/>
      <w:sz w:val="20"/>
      <w:u w:val="single"/>
    </w:rPr>
  </w:style>
  <w:style w:type="paragraph" w:styleId="Normlnywebov">
    <w:name w:val="Normal (Web)"/>
    <w:basedOn w:val="Normlny"/>
    <w:rsid w:val="00B2780C"/>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2780C"/>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2780C"/>
    <w:rPr>
      <w:rFonts w:ascii="Times New Roman" w:eastAsia="Arial Unicode MS" w:hAnsi="Times New Roman" w:cs="Times New Roman"/>
      <w:lang w:eastAsia="ar-SA"/>
    </w:rPr>
  </w:style>
  <w:style w:type="paragraph" w:customStyle="1" w:styleId="Zarkazkladnhotextu21">
    <w:name w:val="Zarážka základného textu 21"/>
    <w:basedOn w:val="Normlny"/>
    <w:rsid w:val="00B2780C"/>
    <w:pPr>
      <w:ind w:firstLine="2862"/>
    </w:pPr>
    <w:rPr>
      <w:rFonts w:eastAsia="Arial Unicode MS"/>
      <w:b/>
      <w:bCs/>
      <w:sz w:val="20"/>
      <w:szCs w:val="20"/>
    </w:rPr>
  </w:style>
  <w:style w:type="paragraph" w:styleId="Hlavika">
    <w:name w:val="header"/>
    <w:basedOn w:val="Normlny"/>
    <w:link w:val="HlavikaChar"/>
    <w:uiPriority w:val="99"/>
    <w:rsid w:val="00B2780C"/>
    <w:pPr>
      <w:tabs>
        <w:tab w:val="center" w:pos="4536"/>
        <w:tab w:val="right" w:pos="9072"/>
      </w:tabs>
    </w:pPr>
  </w:style>
  <w:style w:type="character" w:customStyle="1" w:styleId="HlavikaChar">
    <w:name w:val="Hlavička Char"/>
    <w:basedOn w:val="Predvolenpsmoodseku"/>
    <w:link w:val="Hlavika"/>
    <w:uiPriority w:val="99"/>
    <w:rsid w:val="00B2780C"/>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2780C"/>
    <w:pPr>
      <w:jc w:val="center"/>
    </w:pPr>
    <w:rPr>
      <w:b/>
      <w:bCs/>
    </w:rPr>
  </w:style>
  <w:style w:type="character" w:customStyle="1" w:styleId="NzovChar">
    <w:name w:val="Názov Char"/>
    <w:basedOn w:val="Predvolenpsmoodseku"/>
    <w:link w:val="Nzov"/>
    <w:rsid w:val="00B2780C"/>
    <w:rPr>
      <w:rFonts w:ascii="Times New Roman" w:eastAsia="Times New Roman" w:hAnsi="Times New Roman" w:cs="Times New Roman"/>
      <w:b/>
      <w:bCs/>
      <w:sz w:val="24"/>
      <w:szCs w:val="24"/>
      <w:lang w:eastAsia="ar-SA"/>
    </w:rPr>
  </w:style>
  <w:style w:type="paragraph" w:styleId="Odsekzoznamu">
    <w:name w:val="List Paragraph"/>
    <w:aliases w:val="body,Odsek zoznamu2"/>
    <w:basedOn w:val="Normlny"/>
    <w:link w:val="OdsekzoznamuChar"/>
    <w:uiPriority w:val="34"/>
    <w:qFormat/>
    <w:rsid w:val="00B2780C"/>
    <w:pPr>
      <w:ind w:left="708"/>
    </w:pPr>
  </w:style>
  <w:style w:type="character" w:customStyle="1" w:styleId="OdsekzoznamuChar">
    <w:name w:val="Odsek zoznamu Char"/>
    <w:aliases w:val="body Char,Odsek zoznamu2 Char"/>
    <w:link w:val="Odsekzoznamu"/>
    <w:uiPriority w:val="34"/>
    <w:locked/>
    <w:rsid w:val="00B2780C"/>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B2780C"/>
    <w:pPr>
      <w:tabs>
        <w:tab w:val="center" w:pos="4536"/>
        <w:tab w:val="right" w:pos="9072"/>
      </w:tabs>
    </w:pPr>
  </w:style>
  <w:style w:type="character" w:customStyle="1" w:styleId="PtaChar">
    <w:name w:val="Päta Char"/>
    <w:basedOn w:val="Predvolenpsmoodseku"/>
    <w:link w:val="Pta"/>
    <w:uiPriority w:val="99"/>
    <w:rsid w:val="00B2780C"/>
    <w:rPr>
      <w:rFonts w:ascii="Times New Roman" w:eastAsia="Times New Roman" w:hAnsi="Times New Roman" w:cs="Times New Roman"/>
      <w:sz w:val="24"/>
      <w:szCs w:val="24"/>
      <w:lang w:eastAsia="ar-SA"/>
    </w:rPr>
  </w:style>
  <w:style w:type="paragraph" w:customStyle="1" w:styleId="Default">
    <w:name w:val="Default"/>
    <w:rsid w:val="00B2780C"/>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B2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B278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B2780C"/>
    <w:rPr>
      <w:rFonts w:eastAsiaTheme="minorEastAsia"/>
      <w:color w:val="5A5A5A" w:themeColor="text1" w:themeTint="A5"/>
      <w:spacing w:val="15"/>
      <w:lang w:eastAsia="ar-SA"/>
    </w:rPr>
  </w:style>
  <w:style w:type="character" w:styleId="Textzstupnhosymbolu">
    <w:name w:val="Placeholder Text"/>
    <w:basedOn w:val="Predvolenpsmoodseku"/>
    <w:uiPriority w:val="99"/>
    <w:semiHidden/>
    <w:rsid w:val="00263A40"/>
    <w:rPr>
      <w:color w:val="808080"/>
    </w:rPr>
  </w:style>
  <w:style w:type="paragraph" w:styleId="Textbubliny">
    <w:name w:val="Balloon Text"/>
    <w:basedOn w:val="Normlny"/>
    <w:link w:val="TextbublinyChar"/>
    <w:uiPriority w:val="99"/>
    <w:semiHidden/>
    <w:unhideWhenUsed/>
    <w:rsid w:val="00854267"/>
    <w:rPr>
      <w:rFonts w:ascii="Tahoma" w:hAnsi="Tahoma" w:cs="Tahoma"/>
      <w:sz w:val="16"/>
      <w:szCs w:val="16"/>
    </w:rPr>
  </w:style>
  <w:style w:type="character" w:customStyle="1" w:styleId="TextbublinyChar">
    <w:name w:val="Text bubliny Char"/>
    <w:basedOn w:val="Predvolenpsmoodseku"/>
    <w:link w:val="Textbubliny"/>
    <w:uiPriority w:val="99"/>
    <w:semiHidden/>
    <w:rsid w:val="0085426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780C"/>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2780C"/>
    <w:rPr>
      <w:rFonts w:ascii="Arial" w:hAnsi="Arial" w:cs="Times New Roman"/>
      <w:color w:val="008000"/>
      <w:sz w:val="20"/>
      <w:u w:val="single"/>
    </w:rPr>
  </w:style>
  <w:style w:type="paragraph" w:styleId="Normlnywebov">
    <w:name w:val="Normal (Web)"/>
    <w:basedOn w:val="Normlny"/>
    <w:rsid w:val="00B2780C"/>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2780C"/>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2780C"/>
    <w:rPr>
      <w:rFonts w:ascii="Times New Roman" w:eastAsia="Arial Unicode MS" w:hAnsi="Times New Roman" w:cs="Times New Roman"/>
      <w:lang w:eastAsia="ar-SA"/>
    </w:rPr>
  </w:style>
  <w:style w:type="paragraph" w:customStyle="1" w:styleId="Zarkazkladnhotextu21">
    <w:name w:val="Zarážka základného textu 21"/>
    <w:basedOn w:val="Normlny"/>
    <w:rsid w:val="00B2780C"/>
    <w:pPr>
      <w:ind w:firstLine="2862"/>
    </w:pPr>
    <w:rPr>
      <w:rFonts w:eastAsia="Arial Unicode MS"/>
      <w:b/>
      <w:bCs/>
      <w:sz w:val="20"/>
      <w:szCs w:val="20"/>
    </w:rPr>
  </w:style>
  <w:style w:type="paragraph" w:styleId="Hlavika">
    <w:name w:val="header"/>
    <w:basedOn w:val="Normlny"/>
    <w:link w:val="HlavikaChar"/>
    <w:uiPriority w:val="99"/>
    <w:rsid w:val="00B2780C"/>
    <w:pPr>
      <w:tabs>
        <w:tab w:val="center" w:pos="4536"/>
        <w:tab w:val="right" w:pos="9072"/>
      </w:tabs>
    </w:pPr>
  </w:style>
  <w:style w:type="character" w:customStyle="1" w:styleId="HlavikaChar">
    <w:name w:val="Hlavička Char"/>
    <w:basedOn w:val="Predvolenpsmoodseku"/>
    <w:link w:val="Hlavika"/>
    <w:uiPriority w:val="99"/>
    <w:rsid w:val="00B2780C"/>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2780C"/>
    <w:pPr>
      <w:jc w:val="center"/>
    </w:pPr>
    <w:rPr>
      <w:b/>
      <w:bCs/>
    </w:rPr>
  </w:style>
  <w:style w:type="character" w:customStyle="1" w:styleId="NzovChar">
    <w:name w:val="Názov Char"/>
    <w:basedOn w:val="Predvolenpsmoodseku"/>
    <w:link w:val="Nzov"/>
    <w:rsid w:val="00B2780C"/>
    <w:rPr>
      <w:rFonts w:ascii="Times New Roman" w:eastAsia="Times New Roman" w:hAnsi="Times New Roman" w:cs="Times New Roman"/>
      <w:b/>
      <w:bCs/>
      <w:sz w:val="24"/>
      <w:szCs w:val="24"/>
      <w:lang w:eastAsia="ar-SA"/>
    </w:rPr>
  </w:style>
  <w:style w:type="paragraph" w:styleId="Odsekzoznamu">
    <w:name w:val="List Paragraph"/>
    <w:aliases w:val="body,Odsek zoznamu2"/>
    <w:basedOn w:val="Normlny"/>
    <w:link w:val="OdsekzoznamuChar"/>
    <w:uiPriority w:val="34"/>
    <w:qFormat/>
    <w:rsid w:val="00B2780C"/>
    <w:pPr>
      <w:ind w:left="708"/>
    </w:pPr>
  </w:style>
  <w:style w:type="character" w:customStyle="1" w:styleId="OdsekzoznamuChar">
    <w:name w:val="Odsek zoznamu Char"/>
    <w:aliases w:val="body Char,Odsek zoznamu2 Char"/>
    <w:link w:val="Odsekzoznamu"/>
    <w:uiPriority w:val="34"/>
    <w:locked/>
    <w:rsid w:val="00B2780C"/>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B2780C"/>
    <w:pPr>
      <w:tabs>
        <w:tab w:val="center" w:pos="4536"/>
        <w:tab w:val="right" w:pos="9072"/>
      </w:tabs>
    </w:pPr>
  </w:style>
  <w:style w:type="character" w:customStyle="1" w:styleId="PtaChar">
    <w:name w:val="Päta Char"/>
    <w:basedOn w:val="Predvolenpsmoodseku"/>
    <w:link w:val="Pta"/>
    <w:uiPriority w:val="99"/>
    <w:rsid w:val="00B2780C"/>
    <w:rPr>
      <w:rFonts w:ascii="Times New Roman" w:eastAsia="Times New Roman" w:hAnsi="Times New Roman" w:cs="Times New Roman"/>
      <w:sz w:val="24"/>
      <w:szCs w:val="24"/>
      <w:lang w:eastAsia="ar-SA"/>
    </w:rPr>
  </w:style>
  <w:style w:type="paragraph" w:customStyle="1" w:styleId="Default">
    <w:name w:val="Default"/>
    <w:rsid w:val="00B2780C"/>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B2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B278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B2780C"/>
    <w:rPr>
      <w:rFonts w:eastAsiaTheme="minorEastAsia"/>
      <w:color w:val="5A5A5A" w:themeColor="text1" w:themeTint="A5"/>
      <w:spacing w:val="15"/>
      <w:lang w:eastAsia="ar-SA"/>
    </w:rPr>
  </w:style>
  <w:style w:type="character" w:styleId="Textzstupnhosymbolu">
    <w:name w:val="Placeholder Text"/>
    <w:basedOn w:val="Predvolenpsmoodseku"/>
    <w:uiPriority w:val="99"/>
    <w:semiHidden/>
    <w:rsid w:val="00263A40"/>
    <w:rPr>
      <w:color w:val="808080"/>
    </w:rPr>
  </w:style>
  <w:style w:type="paragraph" w:styleId="Textbubliny">
    <w:name w:val="Balloon Text"/>
    <w:basedOn w:val="Normlny"/>
    <w:link w:val="TextbublinyChar"/>
    <w:uiPriority w:val="99"/>
    <w:semiHidden/>
    <w:unhideWhenUsed/>
    <w:rsid w:val="00854267"/>
    <w:rPr>
      <w:rFonts w:ascii="Tahoma" w:hAnsi="Tahoma" w:cs="Tahoma"/>
      <w:sz w:val="16"/>
      <w:szCs w:val="16"/>
    </w:rPr>
  </w:style>
  <w:style w:type="character" w:customStyle="1" w:styleId="TextbublinyChar">
    <w:name w:val="Text bubliny Char"/>
    <w:basedOn w:val="Predvolenpsmoodseku"/>
    <w:link w:val="Textbubliny"/>
    <w:uiPriority w:val="99"/>
    <w:semiHidden/>
    <w:rsid w:val="0085426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a.sk/index.php?navID=529&amp;id=68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pa.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67CF-A8C6-4E19-8D05-54777E34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4555</Words>
  <Characters>25964</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7</cp:revision>
  <cp:lastPrinted>2015-12-04T10:17:00Z</cp:lastPrinted>
  <dcterms:created xsi:type="dcterms:W3CDTF">2015-12-04T12:01:00Z</dcterms:created>
  <dcterms:modified xsi:type="dcterms:W3CDTF">2015-12-17T05:16:00Z</dcterms:modified>
</cp:coreProperties>
</file>