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1" w:rsidRPr="00CE2092" w:rsidRDefault="00B23DD6" w:rsidP="00B23DD6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iCs/>
        </w:rPr>
      </w:pPr>
      <w:bookmarkStart w:id="0" w:name="_GoBack"/>
      <w:bookmarkEnd w:id="0"/>
      <w:r w:rsidRPr="00CE2092">
        <w:rPr>
          <w:rFonts w:cs="Times New Roman"/>
          <w:b/>
        </w:rPr>
        <w:t>Finančné a percentuálne limity</w:t>
      </w:r>
      <w:r w:rsidR="004373D1" w:rsidRPr="00CE2092">
        <w:rPr>
          <w:rStyle w:val="Odkaznapoznmkupodiarou"/>
          <w:rFonts w:cs="Times New Roman"/>
          <w:b/>
        </w:rPr>
        <w:footnoteReference w:id="1"/>
      </w:r>
      <w:r w:rsidR="004373D1" w:rsidRPr="00CE2092">
        <w:rPr>
          <w:rFonts w:cs="Times New Roman"/>
          <w:b/>
        </w:rPr>
        <w:t xml:space="preserve"> s väzbou na </w:t>
      </w:r>
      <w:r w:rsidR="004373D1" w:rsidRPr="00FB7432">
        <w:rPr>
          <w:rFonts w:cs="Times New Roman"/>
          <w:b/>
          <w:u w:val="single"/>
        </w:rPr>
        <w:t>priame výdavky</w:t>
      </w:r>
      <w:r w:rsidR="004373D1" w:rsidRPr="00FB7432">
        <w:rPr>
          <w:rFonts w:cs="Times New Roman"/>
          <w:b/>
        </w:rPr>
        <w:t xml:space="preserve"> </w:t>
      </w:r>
      <w:r w:rsidR="004373D1" w:rsidRPr="00CE2092">
        <w:rPr>
          <w:rFonts w:cs="Times New Roman"/>
          <w:b/>
        </w:rPr>
        <w:t>projektu (hlavné aktivity projektu)</w:t>
      </w:r>
    </w:p>
    <w:tbl>
      <w:tblPr>
        <w:tblStyle w:val="Svetlmriekazvraznenie1"/>
        <w:tblW w:w="14034" w:type="dxa"/>
        <w:tblInd w:w="108" w:type="dxa"/>
        <w:tblLook w:val="04A0" w:firstRow="1" w:lastRow="0" w:firstColumn="1" w:lastColumn="0" w:noHBand="0" w:noVBand="1"/>
      </w:tblPr>
      <w:tblGrid>
        <w:gridCol w:w="3402"/>
        <w:gridCol w:w="10632"/>
      </w:tblGrid>
      <w:tr w:rsidR="004373D1" w:rsidRPr="00CE2092" w:rsidTr="00816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373D1" w:rsidRPr="00CE2092" w:rsidRDefault="004373D1" w:rsidP="00B7290E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CE2092">
              <w:rPr>
                <w:rFonts w:asciiTheme="minorHAnsi" w:hAnsiTheme="minorHAnsi" w:cs="Times New Roman"/>
              </w:rPr>
              <w:t xml:space="preserve">Oprávnený výdavok </w:t>
            </w:r>
          </w:p>
        </w:tc>
        <w:tc>
          <w:tcPr>
            <w:tcW w:w="10632" w:type="dxa"/>
          </w:tcPr>
          <w:p w:rsidR="004373D1" w:rsidRPr="00CE2092" w:rsidRDefault="004373D1" w:rsidP="00B7290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CE2092">
              <w:rPr>
                <w:rFonts w:asciiTheme="minorHAnsi" w:hAnsiTheme="minorHAnsi" w:cs="Times New Roman"/>
              </w:rPr>
              <w:t xml:space="preserve">Finančný/percentuálny limit </w:t>
            </w:r>
          </w:p>
        </w:tc>
      </w:tr>
      <w:tr w:rsidR="004373D1" w:rsidRPr="00CE2092" w:rsidTr="0081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373D1" w:rsidRPr="00CE2092" w:rsidRDefault="004373D1" w:rsidP="00B7290E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CE2092">
              <w:rPr>
                <w:rFonts w:asciiTheme="minorHAnsi" w:hAnsiTheme="minorHAnsi" w:cs="Times New Roman"/>
              </w:rPr>
              <w:t>Nákup pozemkov</w:t>
            </w:r>
          </w:p>
        </w:tc>
        <w:tc>
          <w:tcPr>
            <w:tcW w:w="10632" w:type="dxa"/>
            <w:vAlign w:val="center"/>
          </w:tcPr>
          <w:p w:rsidR="004373D1" w:rsidRPr="00CE2092" w:rsidRDefault="004373D1" w:rsidP="00B7290E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E2092">
              <w:rPr>
                <w:rFonts w:cs="Times New Roman"/>
              </w:rPr>
              <w:t xml:space="preserve">max. do výšky </w:t>
            </w:r>
            <w:r w:rsidRPr="00CE2092">
              <w:rPr>
                <w:rFonts w:cs="Times New Roman"/>
                <w:b/>
                <w:bCs/>
              </w:rPr>
              <w:t xml:space="preserve">10 % </w:t>
            </w:r>
            <w:r w:rsidRPr="00CE2092">
              <w:rPr>
                <w:rFonts w:cs="Times New Roman"/>
              </w:rPr>
              <w:t>celkových priamych oprávnených výdavkov projektu</w:t>
            </w:r>
          </w:p>
        </w:tc>
      </w:tr>
      <w:tr w:rsidR="004373D1" w:rsidRPr="00CE2092" w:rsidTr="0081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373D1" w:rsidRPr="00CE2092" w:rsidRDefault="004373D1" w:rsidP="00B7290E">
            <w:pPr>
              <w:pStyle w:val="Nadpis1"/>
              <w:spacing w:line="276" w:lineRule="auto"/>
              <w:outlineLvl w:val="0"/>
              <w:rPr>
                <w:rFonts w:asciiTheme="minorHAnsi" w:hAnsiTheme="minorHAnsi"/>
                <w:b/>
              </w:rPr>
            </w:pPr>
            <w:r w:rsidRPr="00CE2092">
              <w:rPr>
                <w:rFonts w:asciiTheme="minorHAnsi" w:hAnsiTheme="minorHAnsi"/>
                <w:b/>
              </w:rPr>
              <w:t>Stavebný dozor</w:t>
            </w:r>
          </w:p>
        </w:tc>
        <w:tc>
          <w:tcPr>
            <w:tcW w:w="10632" w:type="dxa"/>
            <w:vAlign w:val="center"/>
          </w:tcPr>
          <w:p w:rsidR="004373D1" w:rsidRPr="00CE2092" w:rsidRDefault="004373D1" w:rsidP="00B7290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CE2092">
              <w:rPr>
                <w:rFonts w:cs="Times New Roman"/>
              </w:rPr>
              <w:t xml:space="preserve">max. do výšky </w:t>
            </w:r>
            <w:r w:rsidRPr="00CE2092">
              <w:rPr>
                <w:rFonts w:cs="Times New Roman"/>
                <w:b/>
              </w:rPr>
              <w:t>1,5 %</w:t>
            </w:r>
            <w:r w:rsidRPr="00CE2092">
              <w:rPr>
                <w:rFonts w:cs="Times New Roman"/>
              </w:rPr>
              <w:t xml:space="preserve"> celkových oprávnených výdavkov na stavebné práce</w:t>
            </w:r>
          </w:p>
        </w:tc>
      </w:tr>
      <w:tr w:rsidR="004373D1" w:rsidRPr="00CE2092" w:rsidTr="0081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:rsidR="004373D1" w:rsidRPr="00CE2092" w:rsidRDefault="004373D1" w:rsidP="00B7290E">
            <w:pPr>
              <w:pStyle w:val="Nadpis1"/>
              <w:spacing w:line="276" w:lineRule="auto"/>
              <w:outlineLvl w:val="0"/>
              <w:rPr>
                <w:rFonts w:asciiTheme="minorHAnsi" w:hAnsiTheme="minorHAnsi"/>
                <w:b/>
              </w:rPr>
            </w:pPr>
            <w:r w:rsidRPr="00CE2092">
              <w:rPr>
                <w:rFonts w:asciiTheme="minorHAnsi" w:hAnsiTheme="minorHAnsi"/>
                <w:b/>
              </w:rPr>
              <w:t>Prípravná a projektová dokumentácia</w:t>
            </w:r>
          </w:p>
        </w:tc>
        <w:tc>
          <w:tcPr>
            <w:tcW w:w="10632" w:type="dxa"/>
            <w:vAlign w:val="center"/>
          </w:tcPr>
          <w:p w:rsidR="004373D1" w:rsidRPr="00CE2092" w:rsidRDefault="004373D1" w:rsidP="00B729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E2092">
              <w:rPr>
                <w:rFonts w:cs="Times New Roman"/>
              </w:rPr>
              <w:t xml:space="preserve">max. do výšky </w:t>
            </w:r>
            <w:r w:rsidRPr="00CE2092">
              <w:rPr>
                <w:rFonts w:cs="Times New Roman"/>
                <w:b/>
              </w:rPr>
              <w:t>5 %</w:t>
            </w:r>
            <w:r w:rsidRPr="00CE2092">
              <w:rPr>
                <w:rFonts w:cs="Times New Roman"/>
              </w:rPr>
              <w:t xml:space="preserve"> celkových oprávnených výdavkov na stavebné práce</w:t>
            </w:r>
            <w:r w:rsidRPr="00CE2092" w:rsidDel="00634533">
              <w:rPr>
                <w:rFonts w:cs="Times New Roman"/>
              </w:rPr>
              <w:t xml:space="preserve"> </w:t>
            </w:r>
            <w:r w:rsidRPr="00CE2092">
              <w:rPr>
                <w:rFonts w:cs="Times New Roman"/>
                <w:i/>
              </w:rPr>
              <w:t>(pri rozšírení, rekonštrukcii alebo modernizácii)</w:t>
            </w:r>
          </w:p>
        </w:tc>
      </w:tr>
      <w:tr w:rsidR="004373D1" w:rsidRPr="00CE2092" w:rsidTr="0081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:rsidR="004373D1" w:rsidRPr="00CE2092" w:rsidRDefault="004373D1" w:rsidP="00B7290E">
            <w:pPr>
              <w:pStyle w:val="Nadpis1"/>
              <w:spacing w:line="276" w:lineRule="auto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0632" w:type="dxa"/>
            <w:vAlign w:val="center"/>
          </w:tcPr>
          <w:p w:rsidR="004373D1" w:rsidRPr="00CE2092" w:rsidRDefault="004373D1" w:rsidP="00B7290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CE2092">
              <w:rPr>
                <w:rFonts w:cs="Times New Roman"/>
              </w:rPr>
              <w:t xml:space="preserve">max. do výšky </w:t>
            </w:r>
            <w:r w:rsidRPr="00CE2092">
              <w:rPr>
                <w:rFonts w:cs="Times New Roman"/>
                <w:b/>
              </w:rPr>
              <w:t>3 %</w:t>
            </w:r>
            <w:r w:rsidRPr="00CE2092">
              <w:rPr>
                <w:rFonts w:cs="Times New Roman"/>
              </w:rPr>
              <w:t xml:space="preserve"> celkových oprávnených výdavkov na stavebné práce</w:t>
            </w:r>
            <w:r w:rsidRPr="00CE2092">
              <w:rPr>
                <w:rFonts w:cs="Times New Roman"/>
                <w:i/>
              </w:rPr>
              <w:t xml:space="preserve"> (pri výstavbe novej akvakultúrnej prevádzky</w:t>
            </w:r>
            <w:r w:rsidRPr="00CE2092">
              <w:rPr>
                <w:rFonts w:cs="Times New Roman"/>
                <w:i/>
                <w:color w:val="000000"/>
              </w:rPr>
              <w:t xml:space="preserve"> a pri výstavbe nových stavieb (budov) v rámci existujúcej akvakultúrnej prevádzky</w:t>
            </w:r>
            <w:r w:rsidRPr="00CE2092">
              <w:rPr>
                <w:rFonts w:cs="Times New Roman"/>
                <w:i/>
              </w:rPr>
              <w:t>)</w:t>
            </w:r>
          </w:p>
        </w:tc>
      </w:tr>
      <w:tr w:rsidR="004373D1" w:rsidRPr="00CE2092" w:rsidTr="0081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373D1" w:rsidRPr="00CE2092" w:rsidRDefault="004373D1" w:rsidP="00B7290E">
            <w:pPr>
              <w:pStyle w:val="Nadpis1"/>
              <w:spacing w:line="276" w:lineRule="auto"/>
              <w:outlineLvl w:val="0"/>
              <w:rPr>
                <w:rFonts w:asciiTheme="minorHAnsi" w:hAnsiTheme="minorHAnsi"/>
                <w:b/>
              </w:rPr>
            </w:pPr>
            <w:r w:rsidRPr="00CE2092">
              <w:rPr>
                <w:rFonts w:asciiTheme="minorHAnsi" w:hAnsiTheme="minorHAnsi"/>
                <w:b/>
              </w:rPr>
              <w:t>Nákup softvéru</w:t>
            </w:r>
          </w:p>
        </w:tc>
        <w:tc>
          <w:tcPr>
            <w:tcW w:w="10632" w:type="dxa"/>
            <w:vAlign w:val="center"/>
          </w:tcPr>
          <w:p w:rsidR="004373D1" w:rsidRPr="00CE2092" w:rsidRDefault="004373D1" w:rsidP="00B729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E2092">
              <w:rPr>
                <w:rFonts w:cs="Times New Roman"/>
              </w:rPr>
              <w:t>max. do výšky 500 EUR/kus</w:t>
            </w:r>
          </w:p>
        </w:tc>
      </w:tr>
      <w:tr w:rsidR="004373D1" w:rsidRPr="00CE2092" w:rsidTr="0081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373D1" w:rsidRPr="00CE2092" w:rsidRDefault="004373D1" w:rsidP="00B7290E">
            <w:pPr>
              <w:pStyle w:val="Nadpis1"/>
              <w:spacing w:line="276" w:lineRule="auto"/>
              <w:outlineLvl w:val="0"/>
              <w:rPr>
                <w:rFonts w:asciiTheme="minorHAnsi" w:hAnsiTheme="minorHAnsi"/>
                <w:b/>
              </w:rPr>
            </w:pPr>
            <w:r w:rsidRPr="00CE2092">
              <w:rPr>
                <w:rFonts w:asciiTheme="minorHAnsi" w:hAnsiTheme="minorHAnsi"/>
                <w:b/>
              </w:rPr>
              <w:t>Nákup licencií</w:t>
            </w:r>
          </w:p>
        </w:tc>
        <w:tc>
          <w:tcPr>
            <w:tcW w:w="10632" w:type="dxa"/>
            <w:vAlign w:val="center"/>
          </w:tcPr>
          <w:p w:rsidR="004373D1" w:rsidRPr="00CE2092" w:rsidRDefault="004373D1" w:rsidP="00B7290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CE2092">
              <w:rPr>
                <w:rFonts w:cs="Times New Roman"/>
              </w:rPr>
              <w:t>max. do výšky</w:t>
            </w:r>
            <w:r w:rsidRPr="00CE2092">
              <w:rPr>
                <w:rFonts w:cs="Times New Roman"/>
                <w:color w:val="FF0000"/>
              </w:rPr>
              <w:t xml:space="preserve"> </w:t>
            </w:r>
            <w:r w:rsidRPr="00CE2092">
              <w:rPr>
                <w:rFonts w:cs="Times New Roman"/>
              </w:rPr>
              <w:t>300 EUR/kus</w:t>
            </w:r>
          </w:p>
        </w:tc>
      </w:tr>
      <w:tr w:rsidR="004373D1" w:rsidRPr="00CE2092" w:rsidTr="0081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:rsidR="004373D1" w:rsidRPr="00CE2092" w:rsidRDefault="004373D1" w:rsidP="00B7290E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CE2092">
              <w:rPr>
                <w:rFonts w:asciiTheme="minorHAnsi" w:hAnsiTheme="minorHAnsi" w:cs="Times New Roman"/>
              </w:rPr>
              <w:t>Cestovné náhrady na ubytovanie</w:t>
            </w:r>
            <w:r w:rsidRPr="00CE2092">
              <w:rPr>
                <w:rStyle w:val="Odkaznapoznmkupodiarou"/>
                <w:rFonts w:asciiTheme="minorHAnsi" w:hAnsiTheme="minorHAnsi" w:cs="Times New Roman"/>
              </w:rPr>
              <w:footnoteReference w:id="2"/>
            </w:r>
          </w:p>
        </w:tc>
        <w:tc>
          <w:tcPr>
            <w:tcW w:w="10632" w:type="dxa"/>
            <w:vAlign w:val="center"/>
          </w:tcPr>
          <w:p w:rsidR="004373D1" w:rsidRPr="00CE2092" w:rsidRDefault="004373D1" w:rsidP="00B729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E2092">
              <w:rPr>
                <w:rFonts w:cs="Times New Roman"/>
                <w:bCs/>
              </w:rPr>
              <w:t>max. do výšky</w:t>
            </w:r>
            <w:r w:rsidRPr="00CE2092">
              <w:rPr>
                <w:rFonts w:cs="Times New Roman"/>
                <w:b/>
                <w:bCs/>
              </w:rPr>
              <w:t xml:space="preserve"> 80 EUR/noc </w:t>
            </w:r>
            <w:r w:rsidRPr="00CE2092">
              <w:rPr>
                <w:rFonts w:cs="Times New Roman"/>
              </w:rPr>
              <w:t>za ubytovanie na území SR</w:t>
            </w:r>
          </w:p>
        </w:tc>
      </w:tr>
      <w:tr w:rsidR="004373D1" w:rsidRPr="00CE2092" w:rsidTr="0081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</w:tcPr>
          <w:p w:rsidR="004373D1" w:rsidRPr="00CE2092" w:rsidRDefault="004373D1" w:rsidP="00B7290E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0632" w:type="dxa"/>
            <w:vAlign w:val="center"/>
          </w:tcPr>
          <w:p w:rsidR="004373D1" w:rsidRPr="00CE2092" w:rsidRDefault="004373D1" w:rsidP="00B7290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CE2092">
              <w:rPr>
                <w:rFonts w:cs="Times New Roman"/>
                <w:bCs/>
              </w:rPr>
              <w:t>max. do výšky</w:t>
            </w:r>
            <w:r w:rsidRPr="00CE2092">
              <w:rPr>
                <w:rFonts w:cs="Times New Roman"/>
                <w:b/>
                <w:bCs/>
              </w:rPr>
              <w:t xml:space="preserve"> 150 EUR/noc </w:t>
            </w:r>
            <w:r w:rsidRPr="00CE2092">
              <w:rPr>
                <w:rFonts w:cs="Times New Roman"/>
              </w:rPr>
              <w:t>za ubytovanie v zahraničí</w:t>
            </w:r>
          </w:p>
        </w:tc>
      </w:tr>
    </w:tbl>
    <w:p w:rsidR="004373D1" w:rsidRPr="00ED57C1" w:rsidRDefault="004373D1" w:rsidP="0056543F">
      <w:pPr>
        <w:spacing w:after="0" w:line="300" w:lineRule="auto"/>
      </w:pPr>
    </w:p>
    <w:p w:rsidR="004373D1" w:rsidRPr="00ED57C1" w:rsidRDefault="004373D1" w:rsidP="0056543F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b/>
        </w:rPr>
      </w:pPr>
      <w:r w:rsidRPr="00ED57C1">
        <w:rPr>
          <w:rFonts w:cs="Times New Roman"/>
          <w:b/>
        </w:rPr>
        <w:t>Finančné a percentuálne limity</w:t>
      </w:r>
      <w:r w:rsidRPr="00ED57C1">
        <w:rPr>
          <w:rStyle w:val="Odkaznapoznmkupodiarou"/>
          <w:rFonts w:cs="Times New Roman"/>
          <w:b/>
        </w:rPr>
        <w:footnoteReference w:id="3"/>
      </w:r>
      <w:r w:rsidRPr="00ED57C1">
        <w:rPr>
          <w:rFonts w:cs="Times New Roman"/>
          <w:b/>
        </w:rPr>
        <w:t xml:space="preserve"> s väzbou na </w:t>
      </w:r>
      <w:r w:rsidRPr="00FB7432">
        <w:rPr>
          <w:rFonts w:cs="Times New Roman"/>
          <w:b/>
          <w:u w:val="single"/>
        </w:rPr>
        <w:t>nepriame výdavky</w:t>
      </w:r>
      <w:r w:rsidRPr="00FB7432">
        <w:rPr>
          <w:rFonts w:cs="Times New Roman"/>
          <w:b/>
        </w:rPr>
        <w:t xml:space="preserve"> </w:t>
      </w:r>
      <w:r w:rsidRPr="00ED57C1">
        <w:rPr>
          <w:rFonts w:cs="Times New Roman"/>
          <w:b/>
        </w:rPr>
        <w:t>projektu (podporná aktivita projektu)</w:t>
      </w:r>
    </w:p>
    <w:tbl>
      <w:tblPr>
        <w:tblStyle w:val="Svetlmriekazvraznenie1"/>
        <w:tblW w:w="14034" w:type="dxa"/>
        <w:tblInd w:w="108" w:type="dxa"/>
        <w:tblLook w:val="04A0" w:firstRow="1" w:lastRow="0" w:firstColumn="1" w:lastColumn="0" w:noHBand="0" w:noVBand="1"/>
      </w:tblPr>
      <w:tblGrid>
        <w:gridCol w:w="3402"/>
        <w:gridCol w:w="10632"/>
      </w:tblGrid>
      <w:tr w:rsidR="004373D1" w:rsidRPr="00CE2092" w:rsidTr="00816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:rsidR="004373D1" w:rsidRPr="00CE2092" w:rsidRDefault="004373D1" w:rsidP="00CE2092">
            <w:pPr>
              <w:rPr>
                <w:rFonts w:asciiTheme="minorHAnsi" w:hAnsiTheme="minorHAnsi" w:cs="Times New Roman"/>
              </w:rPr>
            </w:pPr>
            <w:r w:rsidRPr="00CE2092">
              <w:rPr>
                <w:rFonts w:asciiTheme="minorHAnsi" w:hAnsiTheme="minorHAnsi" w:cs="Times New Roman"/>
              </w:rPr>
              <w:t>Nepriame výdavky</w:t>
            </w:r>
            <w:r w:rsidRPr="00CE2092">
              <w:rPr>
                <w:rStyle w:val="Odkaznapoznmkupodiarou"/>
                <w:rFonts w:asciiTheme="minorHAnsi" w:hAnsiTheme="minorHAnsi" w:cs="Times New Roman"/>
              </w:rPr>
              <w:footnoteReference w:id="4"/>
            </w:r>
          </w:p>
        </w:tc>
        <w:tc>
          <w:tcPr>
            <w:tcW w:w="10632" w:type="dxa"/>
          </w:tcPr>
          <w:p w:rsidR="004373D1" w:rsidRPr="00CE2092" w:rsidRDefault="004373D1" w:rsidP="002D4A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</w:rPr>
            </w:pPr>
            <w:r w:rsidRPr="00CE2092">
              <w:rPr>
                <w:rFonts w:asciiTheme="minorHAnsi" w:hAnsiTheme="minorHAnsi" w:cs="Times New Roman"/>
              </w:rPr>
              <w:t>Percentuálny limit</w:t>
            </w:r>
          </w:p>
        </w:tc>
      </w:tr>
      <w:tr w:rsidR="004373D1" w:rsidRPr="00CE2092" w:rsidTr="0081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</w:tcPr>
          <w:p w:rsidR="004373D1" w:rsidRPr="00CE2092" w:rsidRDefault="004373D1" w:rsidP="002D4AB2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0632" w:type="dxa"/>
          </w:tcPr>
          <w:p w:rsidR="004373D1" w:rsidRPr="00CE2092" w:rsidRDefault="00437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E2092">
              <w:rPr>
                <w:rFonts w:cs="Times New Roman"/>
              </w:rPr>
              <w:t xml:space="preserve">max. do výšky </w:t>
            </w:r>
            <w:r w:rsidRPr="00CE2092">
              <w:rPr>
                <w:rFonts w:cs="Times New Roman"/>
                <w:b/>
                <w:bCs/>
              </w:rPr>
              <w:t xml:space="preserve">3 % </w:t>
            </w:r>
            <w:r w:rsidRPr="00CE2092">
              <w:rPr>
                <w:rFonts w:cs="Times New Roman"/>
              </w:rPr>
              <w:t xml:space="preserve">celkových priamych oprávnených výdavkov </w:t>
            </w:r>
            <w:r w:rsidRPr="00CE2092">
              <w:rPr>
                <w:rFonts w:cs="Times New Roman"/>
                <w:bCs/>
              </w:rPr>
              <w:t>projektu</w:t>
            </w:r>
          </w:p>
        </w:tc>
      </w:tr>
    </w:tbl>
    <w:p w:rsidR="004373D1" w:rsidRPr="00ED57C1" w:rsidRDefault="004373D1" w:rsidP="0056543F">
      <w:pPr>
        <w:autoSpaceDE w:val="0"/>
        <w:autoSpaceDN w:val="0"/>
        <w:adjustRightInd w:val="0"/>
        <w:spacing w:after="0" w:line="300" w:lineRule="auto"/>
        <w:jc w:val="both"/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2649"/>
        <w:gridCol w:w="2986"/>
        <w:gridCol w:w="2673"/>
        <w:gridCol w:w="2957"/>
        <w:gridCol w:w="2847"/>
      </w:tblGrid>
      <w:tr w:rsidR="004373D1" w:rsidRPr="00CE2092" w:rsidTr="00FB7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vMerge w:val="restart"/>
            <w:vAlign w:val="center"/>
          </w:tcPr>
          <w:p w:rsidR="004373D1" w:rsidRPr="00CE2092" w:rsidRDefault="004373D1" w:rsidP="00B7290E">
            <w:pPr>
              <w:pStyle w:val="Nadpis1"/>
              <w:jc w:val="center"/>
              <w:outlineLvl w:val="0"/>
              <w:rPr>
                <w:rFonts w:asciiTheme="minorHAnsi" w:hAnsiTheme="minorHAnsi"/>
              </w:rPr>
            </w:pPr>
            <w:r w:rsidRPr="00214290">
              <w:rPr>
                <w:rFonts w:asciiTheme="minorHAnsi" w:hAnsiTheme="minorHAnsi"/>
                <w:b/>
              </w:rPr>
              <w:lastRenderedPageBreak/>
              <w:t>Skupina výdavkov</w:t>
            </w:r>
          </w:p>
        </w:tc>
        <w:tc>
          <w:tcPr>
            <w:tcW w:w="2986" w:type="dxa"/>
            <w:vMerge w:val="restart"/>
            <w:vAlign w:val="center"/>
          </w:tcPr>
          <w:p w:rsidR="004373D1" w:rsidRPr="00CE2092" w:rsidRDefault="004373D1" w:rsidP="00B7290E">
            <w:pPr>
              <w:pStyle w:val="Nadpis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 w:val="0"/>
              </w:rPr>
            </w:pPr>
            <w:r w:rsidRPr="00CE2092">
              <w:rPr>
                <w:rFonts w:asciiTheme="minorHAnsi" w:hAnsiTheme="minorHAnsi"/>
                <w:b/>
              </w:rPr>
              <w:t>Oprávnený výdavok</w:t>
            </w:r>
          </w:p>
        </w:tc>
        <w:tc>
          <w:tcPr>
            <w:tcW w:w="2673" w:type="dxa"/>
            <w:vMerge w:val="restart"/>
            <w:vAlign w:val="center"/>
          </w:tcPr>
          <w:p w:rsidR="004373D1" w:rsidRPr="00CE2092" w:rsidRDefault="004373D1" w:rsidP="00B72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CE2092">
              <w:rPr>
                <w:rFonts w:asciiTheme="minorHAnsi" w:hAnsiTheme="minorHAnsi" w:cs="Times New Roman"/>
              </w:rPr>
              <w:t>Pracovná pozícia</w:t>
            </w:r>
          </w:p>
        </w:tc>
        <w:tc>
          <w:tcPr>
            <w:tcW w:w="5804" w:type="dxa"/>
            <w:gridSpan w:val="2"/>
            <w:tcBorders>
              <w:bottom w:val="single" w:sz="8" w:space="0" w:color="4F81BD" w:themeColor="accent1"/>
            </w:tcBorders>
            <w:vAlign w:val="center"/>
          </w:tcPr>
          <w:p w:rsidR="004373D1" w:rsidRPr="00CE2092" w:rsidRDefault="004373D1" w:rsidP="00B729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</w:rPr>
            </w:pPr>
            <w:r w:rsidRPr="00CE2092">
              <w:rPr>
                <w:rFonts w:asciiTheme="minorHAnsi" w:hAnsiTheme="minorHAnsi" w:cs="Times New Roman"/>
              </w:rPr>
              <w:t>Finančný limit pre odplatu za poskytované služby</w:t>
            </w:r>
            <w:r w:rsidRPr="00CE2092">
              <w:rPr>
                <w:rStyle w:val="Odkaznapoznmkupodiarou"/>
                <w:rFonts w:cs="Times New Roman"/>
              </w:rPr>
              <w:footnoteReference w:id="5"/>
            </w:r>
            <w:r w:rsidRPr="00CE2092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4373D1" w:rsidRPr="00CE2092" w:rsidTr="00FB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vMerge/>
            <w:tcBorders>
              <w:bottom w:val="single" w:sz="18" w:space="0" w:color="4F81BD" w:themeColor="accent1"/>
            </w:tcBorders>
            <w:vAlign w:val="center"/>
          </w:tcPr>
          <w:p w:rsidR="004373D1" w:rsidRPr="00214290" w:rsidRDefault="004373D1" w:rsidP="00B7290E">
            <w:pPr>
              <w:pStyle w:val="Nadpis1"/>
              <w:jc w:val="center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986" w:type="dxa"/>
            <w:vMerge/>
            <w:tcBorders>
              <w:bottom w:val="single" w:sz="18" w:space="0" w:color="4F81BD" w:themeColor="accent1"/>
            </w:tcBorders>
            <w:vAlign w:val="center"/>
          </w:tcPr>
          <w:p w:rsidR="004373D1" w:rsidRPr="00CE2092" w:rsidRDefault="004373D1" w:rsidP="00B7290E">
            <w:pPr>
              <w:pStyle w:val="Nadpis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673" w:type="dxa"/>
            <w:vMerge/>
            <w:tcBorders>
              <w:bottom w:val="single" w:sz="18" w:space="0" w:color="4F81BD" w:themeColor="accent1"/>
            </w:tcBorders>
            <w:vAlign w:val="center"/>
          </w:tcPr>
          <w:p w:rsidR="004373D1" w:rsidRPr="00CE2092" w:rsidRDefault="004373D1" w:rsidP="00B7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957" w:type="dxa"/>
            <w:tcBorders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:rsidR="004373D1" w:rsidRPr="00816637" w:rsidRDefault="004373D1" w:rsidP="00B729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16637">
              <w:rPr>
                <w:rFonts w:cs="Times New Roman"/>
                <w:b/>
              </w:rPr>
              <w:t>s nárokom na vrátenie DPH (EUR/hodina) max.</w:t>
            </w:r>
          </w:p>
        </w:tc>
        <w:tc>
          <w:tcPr>
            <w:tcW w:w="2847" w:type="dxa"/>
            <w:tcBorders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:rsidR="004373D1" w:rsidRPr="00816637" w:rsidRDefault="004373D1" w:rsidP="00B729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16637">
              <w:rPr>
                <w:rFonts w:cs="Times New Roman"/>
                <w:b/>
              </w:rPr>
              <w:t>bez nároku na vrátenie DPH (EUR/hodina) max.</w:t>
            </w:r>
          </w:p>
        </w:tc>
      </w:tr>
      <w:tr w:rsidR="004373D1" w:rsidRPr="00CE2092" w:rsidTr="0081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:rsidR="004373D1" w:rsidRPr="00CE2092" w:rsidRDefault="004373D1" w:rsidP="00B7290E">
            <w:pPr>
              <w:pStyle w:val="Nadpis1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518 – Ostatné služby</w:t>
            </w:r>
            <w:r>
              <w:rPr>
                <w:rStyle w:val="Odkaznapoznmkupodiarou"/>
                <w:rFonts w:asciiTheme="minorHAnsi" w:hAnsiTheme="minorHAnsi"/>
              </w:rPr>
              <w:footnoteReference w:id="6"/>
            </w:r>
          </w:p>
        </w:tc>
        <w:tc>
          <w:tcPr>
            <w:tcW w:w="2986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:rsidR="004373D1" w:rsidRPr="00CE2092" w:rsidRDefault="004373D1" w:rsidP="00B7290E">
            <w:pPr>
              <w:pStyle w:val="Nadpis1"/>
              <w:autoSpaceDE w:val="0"/>
              <w:autoSpaceDN w:val="0"/>
              <w:adjustRightInd w:val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E2092">
              <w:rPr>
                <w:rFonts w:asciiTheme="minorHAnsi" w:hAnsiTheme="minorHAnsi"/>
              </w:rPr>
              <w:t>Riadenie projektu - externé</w:t>
            </w:r>
          </w:p>
        </w:tc>
        <w:tc>
          <w:tcPr>
            <w:tcW w:w="2673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:rsidR="004373D1" w:rsidRPr="00CE2092" w:rsidRDefault="004373D1" w:rsidP="00B72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CE2092">
              <w:rPr>
                <w:rFonts w:cs="Times New Roman"/>
              </w:rPr>
              <w:t>Projektový manažér - externý</w:t>
            </w:r>
          </w:p>
        </w:tc>
        <w:tc>
          <w:tcPr>
            <w:tcW w:w="2957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:rsidR="004373D1" w:rsidRPr="00CE2092" w:rsidRDefault="004373D1" w:rsidP="00B72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CE2092">
              <w:rPr>
                <w:rFonts w:cs="Times New Roman"/>
                <w:bCs/>
              </w:rPr>
              <w:t>9,11</w:t>
            </w:r>
          </w:p>
        </w:tc>
        <w:tc>
          <w:tcPr>
            <w:tcW w:w="2847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:rsidR="004373D1" w:rsidRPr="00CE2092" w:rsidRDefault="004373D1" w:rsidP="00B72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vertAlign w:val="superscript"/>
              </w:rPr>
            </w:pPr>
            <w:r w:rsidRPr="00CE2092">
              <w:rPr>
                <w:rFonts w:cs="Times New Roman"/>
                <w:bCs/>
              </w:rPr>
              <w:t>10,94</w:t>
            </w:r>
          </w:p>
        </w:tc>
      </w:tr>
    </w:tbl>
    <w:p w:rsidR="004373D1" w:rsidRDefault="004373D1" w:rsidP="0056543F">
      <w:pPr>
        <w:pStyle w:val="Hlavika"/>
        <w:tabs>
          <w:tab w:val="clear" w:pos="4536"/>
          <w:tab w:val="clear" w:pos="9072"/>
        </w:tabs>
        <w:spacing w:line="300" w:lineRule="auto"/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2649"/>
        <w:gridCol w:w="2986"/>
        <w:gridCol w:w="2673"/>
        <w:gridCol w:w="2957"/>
        <w:gridCol w:w="2847"/>
      </w:tblGrid>
      <w:tr w:rsidR="004373D1" w:rsidRPr="00CE2092" w:rsidTr="00816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vAlign w:val="center"/>
          </w:tcPr>
          <w:p w:rsidR="004373D1" w:rsidRPr="00CE2092" w:rsidRDefault="004373D1" w:rsidP="00B7290E">
            <w:pPr>
              <w:pStyle w:val="Nadpis1"/>
              <w:jc w:val="center"/>
              <w:outlineLvl w:val="0"/>
              <w:rPr>
                <w:rFonts w:asciiTheme="minorHAnsi" w:hAnsiTheme="minorHAnsi"/>
              </w:rPr>
            </w:pPr>
            <w:r w:rsidRPr="00214290">
              <w:rPr>
                <w:rFonts w:asciiTheme="minorHAnsi" w:hAnsiTheme="minorHAnsi"/>
                <w:b/>
              </w:rPr>
              <w:t>Skupina výdavkov</w:t>
            </w:r>
          </w:p>
        </w:tc>
        <w:tc>
          <w:tcPr>
            <w:tcW w:w="2986" w:type="dxa"/>
            <w:vAlign w:val="center"/>
          </w:tcPr>
          <w:p w:rsidR="004373D1" w:rsidRPr="00CE2092" w:rsidRDefault="004373D1" w:rsidP="00B7290E">
            <w:pPr>
              <w:pStyle w:val="Nadpis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 w:val="0"/>
              </w:rPr>
            </w:pPr>
            <w:r w:rsidRPr="00CE2092">
              <w:rPr>
                <w:rFonts w:asciiTheme="minorHAnsi" w:hAnsiTheme="minorHAnsi"/>
                <w:b/>
              </w:rPr>
              <w:t>Oprávnený výdavok</w:t>
            </w:r>
          </w:p>
        </w:tc>
        <w:tc>
          <w:tcPr>
            <w:tcW w:w="2673" w:type="dxa"/>
            <w:vAlign w:val="center"/>
          </w:tcPr>
          <w:p w:rsidR="004373D1" w:rsidRPr="00CE2092" w:rsidRDefault="004373D1" w:rsidP="00B72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CE2092">
              <w:rPr>
                <w:rFonts w:asciiTheme="minorHAnsi" w:hAnsiTheme="minorHAnsi" w:cs="Times New Roman"/>
              </w:rPr>
              <w:t>Pracovná pozícia</w:t>
            </w:r>
          </w:p>
        </w:tc>
        <w:tc>
          <w:tcPr>
            <w:tcW w:w="2957" w:type="dxa"/>
            <w:vAlign w:val="center"/>
          </w:tcPr>
          <w:p w:rsidR="004373D1" w:rsidRPr="00CE2092" w:rsidRDefault="004373D1" w:rsidP="00B729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</w:rPr>
            </w:pPr>
            <w:r w:rsidRPr="00CE2092">
              <w:rPr>
                <w:rFonts w:asciiTheme="minorHAnsi" w:hAnsiTheme="minorHAnsi" w:cs="Times New Roman"/>
              </w:rPr>
              <w:t xml:space="preserve">Finančný limit pre </w:t>
            </w:r>
            <w:r>
              <w:rPr>
                <w:rFonts w:asciiTheme="minorHAnsi" w:hAnsiTheme="minorHAnsi" w:cs="Times New Roman"/>
              </w:rPr>
              <w:t>hrubú mzdu</w:t>
            </w:r>
            <w:r>
              <w:rPr>
                <w:rStyle w:val="Odkaznapoznmkupodiarou"/>
                <w:rFonts w:asciiTheme="minorHAnsi" w:hAnsiTheme="minorHAnsi" w:cs="Times New Roman"/>
              </w:rPr>
              <w:footnoteReference w:id="7"/>
            </w:r>
            <w:r w:rsidRPr="00CE2092">
              <w:rPr>
                <w:rFonts w:asciiTheme="minorHAnsi" w:hAnsiTheme="minorHAnsi" w:cs="Times New Roman"/>
              </w:rPr>
              <w:t xml:space="preserve"> (EUR/</w:t>
            </w:r>
            <w:r>
              <w:rPr>
                <w:rFonts w:asciiTheme="minorHAnsi" w:hAnsiTheme="minorHAnsi" w:cs="Times New Roman"/>
              </w:rPr>
              <w:t>mesiac</w:t>
            </w:r>
            <w:r w:rsidRPr="00CE2092">
              <w:rPr>
                <w:rFonts w:asciiTheme="minorHAnsi" w:hAnsiTheme="minorHAnsi" w:cs="Times New Roman"/>
              </w:rPr>
              <w:t>)</w:t>
            </w:r>
            <w:r>
              <w:rPr>
                <w:rFonts w:asciiTheme="minorHAnsi" w:hAnsiTheme="minorHAnsi" w:cs="Times New Roman"/>
              </w:rPr>
              <w:t xml:space="preserve"> max.</w:t>
            </w:r>
          </w:p>
        </w:tc>
        <w:tc>
          <w:tcPr>
            <w:tcW w:w="2847" w:type="dxa"/>
            <w:vAlign w:val="center"/>
          </w:tcPr>
          <w:p w:rsidR="004373D1" w:rsidRPr="00CE2092" w:rsidRDefault="004373D1" w:rsidP="00B729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</w:rPr>
            </w:pPr>
            <w:r w:rsidRPr="00CE2092">
              <w:rPr>
                <w:rFonts w:asciiTheme="minorHAnsi" w:hAnsiTheme="minorHAnsi" w:cs="Times New Roman"/>
              </w:rPr>
              <w:t xml:space="preserve">Finančný limit pre </w:t>
            </w:r>
            <w:r>
              <w:rPr>
                <w:rFonts w:asciiTheme="minorHAnsi" w:hAnsiTheme="minorHAnsi" w:cs="Times New Roman"/>
              </w:rPr>
              <w:t>odmenu</w:t>
            </w:r>
            <w:r>
              <w:rPr>
                <w:rStyle w:val="Odkaznapoznmkupodiarou"/>
                <w:rFonts w:asciiTheme="minorHAnsi" w:hAnsiTheme="minorHAnsi" w:cs="Times New Roman"/>
              </w:rPr>
              <w:footnoteReference w:id="8"/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CE2092">
              <w:rPr>
                <w:rFonts w:asciiTheme="minorHAnsi" w:hAnsiTheme="minorHAnsi" w:cs="Times New Roman"/>
              </w:rPr>
              <w:t>(EUR/hodina)</w:t>
            </w:r>
            <w:r>
              <w:rPr>
                <w:rFonts w:asciiTheme="minorHAnsi" w:hAnsiTheme="minorHAnsi" w:cs="Times New Roman"/>
              </w:rPr>
              <w:t xml:space="preserve"> max.</w:t>
            </w:r>
          </w:p>
        </w:tc>
      </w:tr>
      <w:tr w:rsidR="004373D1" w:rsidRPr="00CE2092" w:rsidTr="0081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vAlign w:val="center"/>
          </w:tcPr>
          <w:p w:rsidR="004373D1" w:rsidRPr="00401584" w:rsidRDefault="004373D1" w:rsidP="00B7290E">
            <w:pPr>
              <w:pStyle w:val="Nadpis1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</w:rPr>
              <w:t>521 – Mzdové výdavky</w:t>
            </w:r>
            <w:r>
              <w:rPr>
                <w:rFonts w:asciiTheme="minorHAnsi" w:hAnsiTheme="minorHAnsi"/>
                <w:vertAlign w:val="superscript"/>
              </w:rPr>
              <w:t>6</w:t>
            </w:r>
          </w:p>
        </w:tc>
        <w:tc>
          <w:tcPr>
            <w:tcW w:w="2986" w:type="dxa"/>
            <w:vAlign w:val="center"/>
          </w:tcPr>
          <w:p w:rsidR="004373D1" w:rsidRPr="0029364A" w:rsidRDefault="004373D1" w:rsidP="00B7290E">
            <w:pPr>
              <w:pStyle w:val="Nadpis1"/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CE2092">
              <w:rPr>
                <w:rFonts w:asciiTheme="minorHAnsi" w:hAnsiTheme="minorHAnsi"/>
              </w:rPr>
              <w:t xml:space="preserve">Riadenie projektu - </w:t>
            </w:r>
            <w:r>
              <w:rPr>
                <w:rFonts w:asciiTheme="minorHAnsi" w:hAnsiTheme="minorHAnsi"/>
              </w:rPr>
              <w:t>intern</w:t>
            </w:r>
            <w:r w:rsidRPr="00CE2092">
              <w:rPr>
                <w:rFonts w:asciiTheme="minorHAnsi" w:hAnsiTheme="minorHAnsi"/>
              </w:rPr>
              <w:t>é</w:t>
            </w:r>
          </w:p>
        </w:tc>
        <w:tc>
          <w:tcPr>
            <w:tcW w:w="2673" w:type="dxa"/>
            <w:vAlign w:val="center"/>
          </w:tcPr>
          <w:p w:rsidR="004373D1" w:rsidRPr="00CE2092" w:rsidRDefault="004373D1" w:rsidP="00B7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E2092">
              <w:rPr>
                <w:rFonts w:cs="Times New Roman"/>
              </w:rPr>
              <w:t xml:space="preserve">Projektový manažér - </w:t>
            </w:r>
            <w:r>
              <w:rPr>
                <w:rFonts w:cs="Times New Roman"/>
              </w:rPr>
              <w:t>interný</w:t>
            </w:r>
          </w:p>
        </w:tc>
        <w:tc>
          <w:tcPr>
            <w:tcW w:w="2957" w:type="dxa"/>
            <w:vAlign w:val="center"/>
          </w:tcPr>
          <w:p w:rsidR="004373D1" w:rsidRPr="00CE2092" w:rsidRDefault="004373D1" w:rsidP="00B7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1 100</w:t>
            </w:r>
          </w:p>
        </w:tc>
        <w:tc>
          <w:tcPr>
            <w:tcW w:w="2847" w:type="dxa"/>
            <w:vAlign w:val="center"/>
          </w:tcPr>
          <w:p w:rsidR="004373D1" w:rsidRPr="00CE2092" w:rsidRDefault="004373D1" w:rsidP="00B7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bCs/>
              </w:rPr>
              <w:t>7,95</w:t>
            </w:r>
          </w:p>
        </w:tc>
      </w:tr>
    </w:tbl>
    <w:p w:rsidR="004373D1" w:rsidRDefault="004373D1" w:rsidP="0056543F">
      <w:pPr>
        <w:pStyle w:val="Hlavika"/>
        <w:tabs>
          <w:tab w:val="clear" w:pos="4536"/>
          <w:tab w:val="clear" w:pos="9072"/>
        </w:tabs>
        <w:spacing w:line="300" w:lineRule="auto"/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3413"/>
        <w:gridCol w:w="3129"/>
      </w:tblGrid>
      <w:tr w:rsidR="004373D1" w:rsidRPr="00CE2092" w:rsidTr="00161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</w:tcPr>
          <w:p w:rsidR="004373D1" w:rsidRPr="00CE2092" w:rsidRDefault="004373D1" w:rsidP="00B729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 w:val="0"/>
                <w:bCs w:val="0"/>
              </w:rPr>
            </w:pPr>
            <w:r w:rsidRPr="00CE2092">
              <w:rPr>
                <w:rFonts w:asciiTheme="minorHAnsi" w:hAnsiTheme="minorHAnsi" w:cs="Times New Roman"/>
              </w:rPr>
              <w:t>Oprávnený výdavok</w:t>
            </w:r>
          </w:p>
          <w:p w:rsidR="004373D1" w:rsidRPr="00CE2092" w:rsidRDefault="004373D1" w:rsidP="00B7290E">
            <w:pPr>
              <w:jc w:val="center"/>
              <w:rPr>
                <w:rFonts w:asciiTheme="minorHAnsi" w:hAnsiTheme="minorHAnsi" w:cs="Times New Roman"/>
              </w:rPr>
            </w:pPr>
            <w:r w:rsidRPr="00CE2092">
              <w:rPr>
                <w:rFonts w:asciiTheme="minorHAnsi" w:hAnsiTheme="minorHAnsi" w:cs="Times New Roman"/>
              </w:rPr>
              <w:t>v oblasti Informovania a komunikácie</w:t>
            </w:r>
            <w:r w:rsidRPr="00CE2092">
              <w:rPr>
                <w:rStyle w:val="Odkaznapoznmkupodiarou"/>
                <w:rFonts w:asciiTheme="minorHAnsi" w:hAnsiTheme="minorHAnsi" w:cs="Times New Roman"/>
              </w:rPr>
              <w:footnoteReference w:id="9"/>
            </w:r>
          </w:p>
        </w:tc>
        <w:tc>
          <w:tcPr>
            <w:tcW w:w="3129" w:type="dxa"/>
            <w:vAlign w:val="center"/>
          </w:tcPr>
          <w:p w:rsidR="004373D1" w:rsidRPr="00CE2092" w:rsidRDefault="004373D1" w:rsidP="001619F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</w:rPr>
            </w:pPr>
            <w:r w:rsidRPr="00CE2092">
              <w:rPr>
                <w:rFonts w:asciiTheme="minorHAnsi" w:hAnsiTheme="minorHAnsi" w:cs="Times New Roman"/>
              </w:rPr>
              <w:t>Finančný limit</w:t>
            </w:r>
          </w:p>
          <w:p w:rsidR="004373D1" w:rsidRPr="00CE2092" w:rsidRDefault="004373D1" w:rsidP="001619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CE2092">
              <w:rPr>
                <w:rFonts w:asciiTheme="minorHAnsi" w:hAnsiTheme="minorHAnsi" w:cs="Times New Roman"/>
              </w:rPr>
              <w:t>(EUR/kus)</w:t>
            </w:r>
            <w:r>
              <w:rPr>
                <w:rFonts w:asciiTheme="minorHAnsi" w:hAnsiTheme="minorHAnsi" w:cs="Times New Roman"/>
              </w:rPr>
              <w:t xml:space="preserve"> max.</w:t>
            </w:r>
          </w:p>
        </w:tc>
      </w:tr>
      <w:tr w:rsidR="004373D1" w:rsidRPr="00CE2092" w:rsidTr="00161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</w:tcPr>
          <w:p w:rsidR="004373D1" w:rsidRPr="00CE2092" w:rsidRDefault="004373D1" w:rsidP="00B729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 w:val="0"/>
                <w:bCs w:val="0"/>
              </w:rPr>
            </w:pPr>
            <w:r w:rsidRPr="00CE2092">
              <w:rPr>
                <w:rFonts w:asciiTheme="minorHAnsi" w:hAnsiTheme="minorHAnsi" w:cs="Times New Roman"/>
                <w:b w:val="0"/>
              </w:rPr>
              <w:t>Veľkoplošný pútač</w:t>
            </w:r>
            <w:r w:rsidRPr="00CE2092">
              <w:rPr>
                <w:rStyle w:val="Odkaznapoznmkupodiarou"/>
                <w:rFonts w:asciiTheme="minorHAnsi" w:hAnsiTheme="minorHAnsi" w:cs="Times New Roman"/>
                <w:b w:val="0"/>
              </w:rPr>
              <w:footnoteReference w:id="10"/>
            </w:r>
          </w:p>
        </w:tc>
        <w:tc>
          <w:tcPr>
            <w:tcW w:w="3129" w:type="dxa"/>
          </w:tcPr>
          <w:p w:rsidR="004373D1" w:rsidRPr="00CE2092" w:rsidRDefault="004373D1" w:rsidP="001619F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CE2092">
              <w:rPr>
                <w:rFonts w:cs="Times New Roman"/>
                <w:bCs/>
              </w:rPr>
              <w:t>500</w:t>
            </w:r>
          </w:p>
        </w:tc>
      </w:tr>
      <w:tr w:rsidR="004373D1" w:rsidRPr="00CE2092" w:rsidTr="001619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</w:tcPr>
          <w:p w:rsidR="004373D1" w:rsidRPr="00CE2092" w:rsidRDefault="004373D1" w:rsidP="00B729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 w:val="0"/>
                <w:bCs w:val="0"/>
              </w:rPr>
            </w:pPr>
            <w:r w:rsidRPr="00CE2092">
              <w:rPr>
                <w:rFonts w:asciiTheme="minorHAnsi" w:hAnsiTheme="minorHAnsi" w:cs="Times New Roman"/>
                <w:b w:val="0"/>
              </w:rPr>
              <w:t>Stála tabuľa</w:t>
            </w:r>
            <w:r w:rsidRPr="00CE2092">
              <w:rPr>
                <w:rStyle w:val="Odkaznapoznmkupodiarou"/>
                <w:rFonts w:asciiTheme="minorHAnsi" w:hAnsiTheme="minorHAnsi" w:cs="Times New Roman"/>
                <w:b w:val="0"/>
              </w:rPr>
              <w:footnoteReference w:id="11"/>
            </w:r>
          </w:p>
        </w:tc>
        <w:tc>
          <w:tcPr>
            <w:tcW w:w="3129" w:type="dxa"/>
          </w:tcPr>
          <w:p w:rsidR="004373D1" w:rsidRPr="00CE2092" w:rsidRDefault="004373D1" w:rsidP="001619F5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Cs/>
              </w:rPr>
            </w:pPr>
            <w:r w:rsidRPr="00CE2092">
              <w:rPr>
                <w:rFonts w:cs="Times New Roman"/>
                <w:bCs/>
              </w:rPr>
              <w:t>300</w:t>
            </w:r>
          </w:p>
        </w:tc>
      </w:tr>
      <w:tr w:rsidR="00005DD8" w:rsidRPr="00CE2092" w:rsidTr="00161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</w:tcPr>
          <w:p w:rsidR="004373D1" w:rsidRPr="00CE2092" w:rsidRDefault="004373D1" w:rsidP="00B729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 w:val="0"/>
                <w:bCs w:val="0"/>
              </w:rPr>
            </w:pPr>
            <w:r w:rsidRPr="00CE2092">
              <w:rPr>
                <w:rFonts w:asciiTheme="minorHAnsi" w:hAnsiTheme="minorHAnsi" w:cs="Times New Roman"/>
                <w:b w:val="0"/>
              </w:rPr>
              <w:t>Plagát</w:t>
            </w:r>
            <w:r w:rsidRPr="00CE2092">
              <w:rPr>
                <w:rStyle w:val="Odkaznapoznmkupodiarou"/>
                <w:rFonts w:asciiTheme="minorHAnsi" w:hAnsiTheme="minorHAnsi" w:cs="Times New Roman"/>
                <w:b w:val="0"/>
              </w:rPr>
              <w:footnoteReference w:id="12"/>
            </w:r>
          </w:p>
        </w:tc>
        <w:tc>
          <w:tcPr>
            <w:tcW w:w="3129" w:type="dxa"/>
          </w:tcPr>
          <w:p w:rsidR="00005DD8" w:rsidRPr="00CE2092" w:rsidRDefault="00005DD8" w:rsidP="00B729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CE2092">
              <w:rPr>
                <w:rFonts w:cs="Times New Roman"/>
                <w:bCs/>
              </w:rPr>
              <w:t>30</w:t>
            </w:r>
          </w:p>
        </w:tc>
      </w:tr>
    </w:tbl>
    <w:p w:rsidR="00745006" w:rsidRPr="001619F5" w:rsidRDefault="00745006" w:rsidP="001619F5"/>
    <w:sectPr w:rsidR="00745006" w:rsidRPr="001619F5" w:rsidSect="00CE2092">
      <w:headerReference w:type="default" r:id="rId8"/>
      <w:footerReference w:type="default" r:id="rId9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71" w:rsidRDefault="00D61B71" w:rsidP="00B23DD6">
      <w:pPr>
        <w:spacing w:after="0" w:line="240" w:lineRule="auto"/>
      </w:pPr>
      <w:r>
        <w:separator/>
      </w:r>
    </w:p>
  </w:endnote>
  <w:endnote w:type="continuationSeparator" w:id="0">
    <w:p w:rsidR="00D61B71" w:rsidRDefault="00D61B71" w:rsidP="00B2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290882"/>
      <w:docPartObj>
        <w:docPartGallery w:val="Page Numbers (Bottom of Page)"/>
        <w:docPartUnique/>
      </w:docPartObj>
    </w:sdtPr>
    <w:sdtEndPr/>
    <w:sdtContent>
      <w:p w:rsidR="00CE2092" w:rsidRDefault="00CE20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2BE">
          <w:rPr>
            <w:noProof/>
          </w:rPr>
          <w:t>2</w:t>
        </w:r>
        <w:r>
          <w:fldChar w:fldCharType="end"/>
        </w:r>
      </w:p>
    </w:sdtContent>
  </w:sdt>
  <w:p w:rsidR="00CE2092" w:rsidRDefault="00CE20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71" w:rsidRDefault="00D61B71" w:rsidP="00B23DD6">
      <w:pPr>
        <w:spacing w:after="0" w:line="240" w:lineRule="auto"/>
      </w:pPr>
      <w:r>
        <w:separator/>
      </w:r>
    </w:p>
  </w:footnote>
  <w:footnote w:type="continuationSeparator" w:id="0">
    <w:p w:rsidR="00D61B71" w:rsidRDefault="00D61B71" w:rsidP="00B23DD6">
      <w:pPr>
        <w:spacing w:after="0" w:line="240" w:lineRule="auto"/>
      </w:pPr>
      <w:r>
        <w:continuationSeparator/>
      </w:r>
    </w:p>
  </w:footnote>
  <w:footnote w:id="1">
    <w:p w:rsidR="004373D1" w:rsidRPr="00ED57C1" w:rsidRDefault="004373D1" w:rsidP="00B7290E">
      <w:pPr>
        <w:pStyle w:val="Textpoznmkypodiarou"/>
        <w:spacing w:before="60" w:after="60"/>
        <w:ind w:left="142" w:hanging="142"/>
        <w:jc w:val="both"/>
        <w:rPr>
          <w:rFonts w:cs="Times New Roman"/>
          <w:b/>
          <w:sz w:val="16"/>
          <w:szCs w:val="16"/>
        </w:rPr>
      </w:pPr>
      <w:r w:rsidRPr="00ED57C1">
        <w:rPr>
          <w:rStyle w:val="Odkaznapoznmkupodiarou"/>
          <w:rFonts w:cs="Times New Roman"/>
          <w:sz w:val="16"/>
          <w:szCs w:val="16"/>
        </w:rPr>
        <w:footnoteRef/>
      </w:r>
      <w:r w:rsidRPr="00ED57C1">
        <w:rPr>
          <w:rFonts w:cs="Times New Roman"/>
          <w:sz w:val="16"/>
          <w:szCs w:val="16"/>
        </w:rPr>
        <w:t xml:space="preserve"> Všetky limity s väzbou na priame výdavky, okrem finančných limitov pre cestovné náhrady na ubytovanie, sú uvedené </w:t>
      </w:r>
      <w:r w:rsidRPr="00ED57C1">
        <w:rPr>
          <w:rFonts w:cs="Times New Roman"/>
          <w:bCs/>
          <w:sz w:val="16"/>
          <w:szCs w:val="16"/>
        </w:rPr>
        <w:t xml:space="preserve">bez dane z pridanej hodnoty </w:t>
      </w:r>
      <w:r w:rsidRPr="00ED57C1">
        <w:rPr>
          <w:rFonts w:cs="Times New Roman"/>
          <w:sz w:val="16"/>
          <w:szCs w:val="16"/>
        </w:rPr>
        <w:t xml:space="preserve">(ďalej len „DPH“). </w:t>
      </w:r>
      <w:r w:rsidRPr="00ED57C1">
        <w:rPr>
          <w:rFonts w:cs="Times New Roman"/>
          <w:b/>
          <w:sz w:val="16"/>
          <w:szCs w:val="16"/>
        </w:rPr>
        <w:t xml:space="preserve">Stanovením finančných a percentuálnych limitov (ďalej len „limit“) nie je dotknutá možnosť ich nedosiahnutia alebo prekročenia. Rozdiel medzi prekročenou výškou limitu a stanoveným maximálnym limitom vrátane hraničnej hodnoty je považovaný za neoprávnený výdavok. </w:t>
      </w:r>
    </w:p>
  </w:footnote>
  <w:footnote w:id="2">
    <w:p w:rsidR="004373D1" w:rsidRPr="00ED57C1" w:rsidRDefault="004373D1" w:rsidP="00B7290E">
      <w:pPr>
        <w:pStyle w:val="Textpoznmkypodiarou"/>
        <w:spacing w:before="60" w:after="60"/>
        <w:ind w:left="142" w:hanging="142"/>
        <w:jc w:val="both"/>
        <w:rPr>
          <w:rFonts w:cs="Times New Roman"/>
          <w:sz w:val="16"/>
          <w:szCs w:val="16"/>
        </w:rPr>
      </w:pPr>
      <w:r w:rsidRPr="00ED57C1">
        <w:rPr>
          <w:rStyle w:val="Odkaznapoznmkupodiarou"/>
          <w:rFonts w:cs="Times New Roman"/>
          <w:sz w:val="16"/>
          <w:szCs w:val="16"/>
        </w:rPr>
        <w:footnoteRef/>
      </w:r>
      <w:r w:rsidRPr="00ED57C1">
        <w:rPr>
          <w:rFonts w:cs="Times New Roman"/>
          <w:sz w:val="16"/>
          <w:szCs w:val="16"/>
        </w:rPr>
        <w:t xml:space="preserve"> Týmto nie je dotknutá povinnosť prijímateľa dodržať vlastné interné predpisy organizácie, ak stanovujú nižší cenový limit pre cestovné náhrady preukázaných výdavkov na ubytovanie na území SR a v zahraničí.</w:t>
      </w:r>
    </w:p>
  </w:footnote>
  <w:footnote w:id="3">
    <w:p w:rsidR="004373D1" w:rsidRPr="00ED57C1" w:rsidRDefault="004373D1" w:rsidP="00B7290E">
      <w:pPr>
        <w:autoSpaceDE w:val="0"/>
        <w:autoSpaceDN w:val="0"/>
        <w:adjustRightInd w:val="0"/>
        <w:spacing w:before="60" w:after="60" w:line="240" w:lineRule="auto"/>
        <w:jc w:val="both"/>
        <w:rPr>
          <w:rFonts w:cs="Times New Roman"/>
          <w:sz w:val="16"/>
          <w:szCs w:val="16"/>
        </w:rPr>
      </w:pPr>
      <w:r w:rsidRPr="00ED57C1">
        <w:rPr>
          <w:rStyle w:val="Odkaznapoznmkupodiarou"/>
          <w:rFonts w:cs="Times New Roman"/>
          <w:sz w:val="16"/>
          <w:szCs w:val="16"/>
        </w:rPr>
        <w:footnoteRef/>
      </w:r>
      <w:r w:rsidRPr="00ED57C1">
        <w:rPr>
          <w:rStyle w:val="Odkaznapoznmkupodiarou"/>
          <w:rFonts w:cs="Times New Roman"/>
          <w:sz w:val="16"/>
          <w:szCs w:val="16"/>
        </w:rPr>
        <w:t xml:space="preserve"> </w:t>
      </w:r>
      <w:r w:rsidRPr="00ED57C1">
        <w:rPr>
          <w:rFonts w:cs="Times New Roman"/>
          <w:sz w:val="16"/>
          <w:szCs w:val="16"/>
        </w:rPr>
        <w:t>Všetky limity s väzbou na nepriame výdavky (okrem: finančného limitu  pre riadenie projektu - externé, pri ktorom je relevantnosť DPH uvedená) sú uvedené bez DPH.</w:t>
      </w:r>
    </w:p>
  </w:footnote>
  <w:footnote w:id="4">
    <w:p w:rsidR="004373D1" w:rsidRPr="00ED57C1" w:rsidRDefault="004373D1" w:rsidP="00B7290E">
      <w:pPr>
        <w:autoSpaceDE w:val="0"/>
        <w:autoSpaceDN w:val="0"/>
        <w:adjustRightInd w:val="0"/>
        <w:spacing w:before="60" w:after="60" w:line="240" w:lineRule="auto"/>
        <w:ind w:left="142" w:hanging="142"/>
        <w:jc w:val="both"/>
        <w:rPr>
          <w:rFonts w:cs="Times New Roman"/>
          <w:sz w:val="16"/>
          <w:szCs w:val="16"/>
        </w:rPr>
      </w:pPr>
      <w:r w:rsidRPr="00ED57C1">
        <w:rPr>
          <w:rStyle w:val="Odkaznapoznmkupodiarou"/>
          <w:rFonts w:cs="Times New Roman"/>
          <w:sz w:val="16"/>
          <w:szCs w:val="16"/>
        </w:rPr>
        <w:footnoteRef/>
      </w:r>
      <w:r w:rsidRPr="00ED57C1">
        <w:rPr>
          <w:rFonts w:cs="Times New Roman"/>
          <w:sz w:val="16"/>
          <w:szCs w:val="16"/>
        </w:rPr>
        <w:t xml:space="preserve"> Nepriame výdavky sú také výdavky, ktoré súvisia nepriamo s realizáciou projektu (resp. nemôžu byť priamo priradené k niektorej z hlavných aktivít projektu) a sú vynaložené na zabezpečenie podpornej aktivity projektu.</w:t>
      </w:r>
    </w:p>
  </w:footnote>
  <w:footnote w:id="5">
    <w:p w:rsidR="004373D1" w:rsidRPr="00FB7432" w:rsidRDefault="004373D1" w:rsidP="00B7290E">
      <w:pPr>
        <w:autoSpaceDE w:val="0"/>
        <w:autoSpaceDN w:val="0"/>
        <w:adjustRightInd w:val="0"/>
        <w:spacing w:before="60" w:after="60" w:line="240" w:lineRule="auto"/>
        <w:ind w:left="142" w:hanging="142"/>
        <w:jc w:val="both"/>
        <w:rPr>
          <w:rFonts w:cs="Times New Roman"/>
          <w:b/>
          <w:sz w:val="16"/>
          <w:szCs w:val="16"/>
        </w:rPr>
      </w:pPr>
      <w:r w:rsidRPr="003F1C99">
        <w:rPr>
          <w:rStyle w:val="Odkaznapoznmkupodiarou"/>
          <w:rFonts w:cs="Times New Roman"/>
          <w:sz w:val="16"/>
          <w:szCs w:val="16"/>
        </w:rPr>
        <w:footnoteRef/>
      </w:r>
      <w:r w:rsidRPr="003F1C99">
        <w:rPr>
          <w:rFonts w:cs="Times New Roman"/>
          <w:sz w:val="16"/>
          <w:szCs w:val="16"/>
        </w:rPr>
        <w:t xml:space="preserve"> Oprávneným výdavkom je </w:t>
      </w:r>
      <w:r w:rsidRPr="003F1C99">
        <w:rPr>
          <w:rFonts w:cs="Times New Roman"/>
          <w:b/>
          <w:bCs/>
          <w:sz w:val="16"/>
          <w:szCs w:val="16"/>
        </w:rPr>
        <w:t>cena práce</w:t>
      </w:r>
      <w:r w:rsidRPr="003F1C99">
        <w:rPr>
          <w:rFonts w:cs="Times New Roman"/>
          <w:sz w:val="16"/>
          <w:szCs w:val="16"/>
        </w:rPr>
        <w:t xml:space="preserve">, t.j. hrubá hodinová odplata za poskytnuté služby (ohraničená uvedeným finančným limitom) a jej zodpovedajúce zákonné odvody zamestnávateľa. Maximálny oprávnený počet hodín vykázaných za 1 mesiac poskytovania služieb je </w:t>
      </w:r>
      <w:r w:rsidRPr="00FB7432">
        <w:rPr>
          <w:rFonts w:cs="Times New Roman"/>
          <w:b/>
          <w:bCs/>
          <w:sz w:val="16"/>
          <w:szCs w:val="16"/>
        </w:rPr>
        <w:t xml:space="preserve">173 </w:t>
      </w:r>
      <w:r w:rsidRPr="00FB7432">
        <w:rPr>
          <w:rFonts w:cs="Times New Roman"/>
          <w:sz w:val="16"/>
          <w:szCs w:val="16"/>
        </w:rPr>
        <w:t xml:space="preserve">hodín/mesiac. </w:t>
      </w:r>
    </w:p>
  </w:footnote>
  <w:footnote w:id="6">
    <w:p w:rsidR="001619F5" w:rsidRPr="001619F5" w:rsidRDefault="004373D1" w:rsidP="001619F5">
      <w:pPr>
        <w:pStyle w:val="Textpoznmkypodiarou"/>
        <w:spacing w:before="60" w:after="60"/>
        <w:ind w:left="142" w:hanging="142"/>
        <w:jc w:val="both"/>
        <w:rPr>
          <w:b/>
          <w:bCs/>
          <w:sz w:val="16"/>
          <w:szCs w:val="16"/>
        </w:rPr>
      </w:pPr>
      <w:r w:rsidRPr="003F1C99">
        <w:rPr>
          <w:rStyle w:val="Odkaznapoznmkupodiarou"/>
          <w:sz w:val="16"/>
          <w:szCs w:val="16"/>
        </w:rPr>
        <w:footnoteRef/>
      </w:r>
      <w:r w:rsidRPr="003F1C99">
        <w:rPr>
          <w:sz w:val="16"/>
          <w:szCs w:val="16"/>
        </w:rPr>
        <w:t xml:space="preserve"> </w:t>
      </w:r>
      <w:r w:rsidRPr="003F1C99">
        <w:rPr>
          <w:rFonts w:cs="Times New Roman"/>
          <w:sz w:val="16"/>
          <w:szCs w:val="16"/>
        </w:rPr>
        <w:t xml:space="preserve">Týmto nie je dotknutá možnosť, že odplata za služby dohodnuté medzi dodávateľom a prijímateľom je vyššia ako stanovený finančný limit, avšak </w:t>
      </w:r>
      <w:r w:rsidRPr="003F1C99">
        <w:rPr>
          <w:rFonts w:cs="Times New Roman"/>
          <w:b/>
          <w:sz w:val="16"/>
          <w:szCs w:val="16"/>
        </w:rPr>
        <w:t>rozdiel</w:t>
      </w:r>
      <w:r w:rsidRPr="003F1C99">
        <w:rPr>
          <w:rFonts w:cs="Times New Roman"/>
          <w:sz w:val="16"/>
          <w:szCs w:val="16"/>
        </w:rPr>
        <w:t xml:space="preserve"> medzi dohodnutou odplatou a stanoveným finančným limitom bude určený ako </w:t>
      </w:r>
      <w:r w:rsidRPr="00FB7432">
        <w:rPr>
          <w:rFonts w:cs="Times New Roman"/>
          <w:b/>
          <w:sz w:val="16"/>
          <w:szCs w:val="16"/>
        </w:rPr>
        <w:t>neoprávnený výdavok</w:t>
      </w:r>
      <w:r w:rsidRPr="00FB7432">
        <w:rPr>
          <w:rFonts w:cs="Times New Roman"/>
          <w:sz w:val="16"/>
          <w:szCs w:val="16"/>
        </w:rPr>
        <w:t>.</w:t>
      </w:r>
    </w:p>
  </w:footnote>
  <w:footnote w:id="7">
    <w:p w:rsidR="004373D1" w:rsidRPr="003F1C99" w:rsidRDefault="004373D1" w:rsidP="00AC090A">
      <w:pPr>
        <w:pStyle w:val="Textpoznmkypodiarou"/>
        <w:ind w:left="142" w:hanging="142"/>
        <w:jc w:val="both"/>
        <w:rPr>
          <w:sz w:val="16"/>
          <w:szCs w:val="16"/>
        </w:rPr>
      </w:pPr>
      <w:r w:rsidRPr="003F1C99">
        <w:rPr>
          <w:rStyle w:val="Odkaznapoznmkupodiarou"/>
          <w:sz w:val="16"/>
          <w:szCs w:val="16"/>
        </w:rPr>
        <w:footnoteRef/>
      </w:r>
      <w:r w:rsidRPr="003F1C99">
        <w:rPr>
          <w:sz w:val="16"/>
          <w:szCs w:val="16"/>
        </w:rPr>
        <w:t xml:space="preserve"> V prípade osoby, ktorá pracuje na projekte na základe pracovného pomeru založeného pracovnou zmluvou. Oprávneným výdavkom je </w:t>
      </w:r>
      <w:r w:rsidRPr="003F1C99">
        <w:rPr>
          <w:b/>
          <w:bCs/>
          <w:sz w:val="16"/>
          <w:szCs w:val="16"/>
        </w:rPr>
        <w:t>celková cena práce</w:t>
      </w:r>
      <w:r w:rsidRPr="003F1C99">
        <w:rPr>
          <w:sz w:val="16"/>
          <w:szCs w:val="16"/>
        </w:rPr>
        <w:t>, t.j. hrubá mesačná mzda, ohrani</w:t>
      </w:r>
      <w:r w:rsidRPr="00FB7432">
        <w:rPr>
          <w:sz w:val="16"/>
          <w:szCs w:val="16"/>
        </w:rPr>
        <w:t xml:space="preserve">čená uvedeným </w:t>
      </w:r>
      <w:r w:rsidRPr="003F1C99">
        <w:rPr>
          <w:sz w:val="16"/>
          <w:szCs w:val="16"/>
        </w:rPr>
        <w:t xml:space="preserve">finančným limitom, a jej zodpovedajúce (do tejto sumy nezapočítané) zákonné odvody zamestnávateľa. Uvedený finančný limit sa aplikuje v prípade plného (100 %) pracovného úväzku (v prípade pracovného pomeru na kratší pracovný čas, resp. pri výkone pracovných činností na viacerých projektoch financovaných z EŠIF, sa finančný limit uplatní v pomernej výške).  </w:t>
      </w:r>
    </w:p>
  </w:footnote>
  <w:footnote w:id="8">
    <w:p w:rsidR="004373D1" w:rsidRPr="003F1C99" w:rsidRDefault="004373D1" w:rsidP="00B7290E">
      <w:pPr>
        <w:pStyle w:val="Textpoznmkypodiarou"/>
        <w:spacing w:before="60" w:after="60"/>
        <w:ind w:left="142" w:hanging="142"/>
        <w:jc w:val="both"/>
        <w:rPr>
          <w:sz w:val="16"/>
          <w:szCs w:val="16"/>
        </w:rPr>
      </w:pPr>
      <w:r w:rsidRPr="003F1C99">
        <w:rPr>
          <w:rStyle w:val="Odkaznapoznmkupodiarou"/>
          <w:sz w:val="16"/>
          <w:szCs w:val="16"/>
        </w:rPr>
        <w:footnoteRef/>
      </w:r>
      <w:r w:rsidRPr="003F1C99">
        <w:rPr>
          <w:sz w:val="16"/>
          <w:szCs w:val="16"/>
        </w:rPr>
        <w:t xml:space="preserve"> </w:t>
      </w:r>
      <w:r w:rsidRPr="003F1C99">
        <w:rPr>
          <w:rFonts w:cs="Times New Roman"/>
          <w:sz w:val="16"/>
          <w:szCs w:val="16"/>
        </w:rPr>
        <w:t>V prípade osoby, ktorá pracuje na projekte na základe dohody o práci vykonávanej mimo pracovného pomeru (§§ 223 až 228 zákonníka práce). Oprávneným výdavkom je celková cena práce, t.j. hrubá hodinová odmena, ohraničená uvedeným finančným limitom, a jej zodpovedajúce (do tejto sumy nezapočítané) zákonné odvody zamestnávateľa.</w:t>
      </w:r>
      <w:r w:rsidRPr="003F1C99">
        <w:rPr>
          <w:sz w:val="16"/>
          <w:szCs w:val="16"/>
        </w:rPr>
        <w:t xml:space="preserve">  </w:t>
      </w:r>
    </w:p>
  </w:footnote>
  <w:footnote w:id="9">
    <w:p w:rsidR="004373D1" w:rsidRPr="003F1C99" w:rsidRDefault="004373D1" w:rsidP="00B7290E">
      <w:pPr>
        <w:pStyle w:val="Textpoznmkypodiarou"/>
        <w:spacing w:before="60" w:after="60"/>
        <w:rPr>
          <w:rFonts w:cs="Times New Roman"/>
          <w:sz w:val="16"/>
          <w:szCs w:val="16"/>
        </w:rPr>
      </w:pPr>
      <w:r w:rsidRPr="003F1C99">
        <w:rPr>
          <w:rStyle w:val="Odkaznapoznmkupodiarou"/>
          <w:rFonts w:cs="Times New Roman"/>
          <w:sz w:val="16"/>
          <w:szCs w:val="16"/>
        </w:rPr>
        <w:footnoteRef/>
      </w:r>
      <w:r w:rsidRPr="003F1C99">
        <w:rPr>
          <w:rFonts w:cs="Times New Roman"/>
          <w:sz w:val="16"/>
          <w:szCs w:val="16"/>
        </w:rPr>
        <w:t xml:space="preserve"> O podpore získanej z európskych štrukturálnych a investičných fondov na spolufinancovanie projektu (nepriame výdavky).</w:t>
      </w:r>
    </w:p>
  </w:footnote>
  <w:footnote w:id="10">
    <w:p w:rsidR="004373D1" w:rsidRPr="003F1C99" w:rsidRDefault="004373D1" w:rsidP="00B7290E">
      <w:pPr>
        <w:pStyle w:val="Textpoznmkypodiarou"/>
        <w:spacing w:before="60" w:after="60"/>
        <w:rPr>
          <w:rFonts w:cs="Times New Roman"/>
          <w:sz w:val="16"/>
          <w:szCs w:val="16"/>
        </w:rPr>
      </w:pPr>
      <w:r w:rsidRPr="003F1C99">
        <w:rPr>
          <w:rStyle w:val="Odkaznapoznmkupodiarou"/>
          <w:rFonts w:cs="Times New Roman"/>
          <w:sz w:val="16"/>
          <w:szCs w:val="16"/>
        </w:rPr>
        <w:footnoteRef/>
      </w:r>
      <w:r w:rsidRPr="003F1C99">
        <w:rPr>
          <w:rFonts w:cs="Times New Roman"/>
          <w:sz w:val="16"/>
          <w:szCs w:val="16"/>
        </w:rPr>
        <w:t xml:space="preserve"> Povinný pri projektoch slúžiacich na financovanie stavebných činností a celkovej výške NFP nad 500 000 EUR.</w:t>
      </w:r>
    </w:p>
  </w:footnote>
  <w:footnote w:id="11">
    <w:p w:rsidR="004373D1" w:rsidRPr="00ED57C1" w:rsidRDefault="004373D1" w:rsidP="00214290">
      <w:pPr>
        <w:pStyle w:val="Textpoznmkypodiarou"/>
        <w:spacing w:before="120"/>
        <w:rPr>
          <w:rFonts w:cs="Times New Roman"/>
          <w:sz w:val="16"/>
          <w:szCs w:val="16"/>
        </w:rPr>
      </w:pPr>
      <w:r w:rsidRPr="003F1C99">
        <w:rPr>
          <w:rStyle w:val="Odkaznapoznmkupodiarou"/>
          <w:rFonts w:cs="Times New Roman"/>
          <w:sz w:val="16"/>
          <w:szCs w:val="16"/>
        </w:rPr>
        <w:footnoteRef/>
      </w:r>
      <w:r w:rsidRPr="003F1C99">
        <w:rPr>
          <w:rFonts w:cs="Times New Roman"/>
          <w:sz w:val="16"/>
          <w:szCs w:val="16"/>
        </w:rPr>
        <w:t xml:space="preserve"> Povinná pri projektoch spočívajúcich v zakúpení fyzického objektu alebo financovaní stavebných činností a celkovej výške NFP nad 500 000 EUR.</w:t>
      </w:r>
    </w:p>
  </w:footnote>
  <w:footnote w:id="12">
    <w:p w:rsidR="004373D1" w:rsidRPr="00ED57C1" w:rsidRDefault="004373D1" w:rsidP="00214290">
      <w:pPr>
        <w:pStyle w:val="Textpoznmkypodiarou"/>
        <w:spacing w:before="120"/>
        <w:rPr>
          <w:rFonts w:cs="Times New Roman"/>
          <w:sz w:val="16"/>
          <w:szCs w:val="16"/>
        </w:rPr>
      </w:pPr>
      <w:r w:rsidRPr="00ED57C1">
        <w:rPr>
          <w:rStyle w:val="Odkaznapoznmkupodiarou"/>
          <w:rFonts w:cs="Times New Roman"/>
          <w:sz w:val="16"/>
          <w:szCs w:val="16"/>
        </w:rPr>
        <w:footnoteRef/>
      </w:r>
      <w:r w:rsidRPr="00ED57C1">
        <w:rPr>
          <w:rFonts w:cs="Times New Roman"/>
          <w:sz w:val="16"/>
          <w:szCs w:val="16"/>
        </w:rPr>
        <w:t xml:space="preserve"> Povinný pri projektoch, na ktoré sa nevzťahuje povinnosť osadenia veľkoplošného pútača a vyvesenia stálej tabule.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92" w:rsidRDefault="00CE2092" w:rsidP="00CE2092">
    <w:pPr>
      <w:pStyle w:val="Hlavika"/>
      <w:rPr>
        <w:i/>
        <w:sz w:val="16"/>
        <w:szCs w:val="16"/>
      </w:rPr>
    </w:pPr>
  </w:p>
  <w:p w:rsidR="00CE2092" w:rsidRDefault="00CE2092" w:rsidP="00CE2092">
    <w:pPr>
      <w:pStyle w:val="Hlavika"/>
      <w:rPr>
        <w:i/>
        <w:sz w:val="16"/>
        <w:szCs w:val="16"/>
      </w:rPr>
    </w:pPr>
  </w:p>
  <w:p w:rsidR="00CE2092" w:rsidRDefault="00CE2092" w:rsidP="00CE2092">
    <w:pPr>
      <w:pStyle w:val="Hlavika"/>
      <w:rPr>
        <w:i/>
        <w:sz w:val="16"/>
        <w:szCs w:val="16"/>
      </w:rPr>
    </w:pPr>
    <w:r>
      <w:rPr>
        <w:i/>
        <w:sz w:val="16"/>
        <w:szCs w:val="16"/>
      </w:rPr>
      <w:t xml:space="preserve">Príloha č. </w:t>
    </w:r>
    <w:r w:rsidR="005312BE">
      <w:rPr>
        <w:i/>
        <w:sz w:val="16"/>
        <w:szCs w:val="16"/>
      </w:rPr>
      <w:t>13</w:t>
    </w:r>
    <w:r>
      <w:rPr>
        <w:i/>
        <w:sz w:val="16"/>
        <w:szCs w:val="16"/>
      </w:rPr>
      <w:t xml:space="preserve"> – </w:t>
    </w:r>
    <w:r>
      <w:rPr>
        <w:rFonts w:cs="Times New Roman"/>
        <w:i/>
        <w:sz w:val="16"/>
        <w:szCs w:val="16"/>
      </w:rPr>
      <w:t xml:space="preserve">Finančné a percentuálne limity </w:t>
    </w:r>
  </w:p>
  <w:p w:rsidR="00EA0699" w:rsidRDefault="00CE2092" w:rsidP="00CE2092">
    <w:pPr>
      <w:pStyle w:val="Hlavika"/>
      <w:tabs>
        <w:tab w:val="left" w:pos="1365"/>
      </w:tabs>
      <w:spacing w:after="120"/>
    </w:pPr>
    <w:r>
      <w:rPr>
        <w:noProof/>
        <w:lang w:eastAsia="sk-SK"/>
      </w:rPr>
      <w:drawing>
        <wp:inline distT="0" distB="0" distL="0" distR="0" wp14:anchorId="4B3D985D" wp14:editId="150AF5A3">
          <wp:extent cx="1098550" cy="527050"/>
          <wp:effectExtent l="0" t="0" r="6350" b="635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</w:t>
    </w:r>
    <w:r>
      <w:rPr>
        <w:noProof/>
        <w:lang w:eastAsia="sk-SK"/>
      </w:rPr>
      <w:drawing>
        <wp:inline distT="0" distB="0" distL="0" distR="0" wp14:anchorId="607E3D7D" wp14:editId="6609C4FE">
          <wp:extent cx="685800" cy="546100"/>
          <wp:effectExtent l="0" t="0" r="0" b="6350"/>
          <wp:docPr id="4" name="Obrázok 4" descr="Popis: Popis: Popis: 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D6"/>
    <w:rsid w:val="00005720"/>
    <w:rsid w:val="00005DD8"/>
    <w:rsid w:val="0001716B"/>
    <w:rsid w:val="000C36C2"/>
    <w:rsid w:val="000F09A3"/>
    <w:rsid w:val="000F5626"/>
    <w:rsid w:val="001212DC"/>
    <w:rsid w:val="001619F5"/>
    <w:rsid w:val="00183EC0"/>
    <w:rsid w:val="00186BE8"/>
    <w:rsid w:val="00193A93"/>
    <w:rsid w:val="001B733F"/>
    <w:rsid w:val="001E4883"/>
    <w:rsid w:val="0020163C"/>
    <w:rsid w:val="00213BEC"/>
    <w:rsid w:val="00214290"/>
    <w:rsid w:val="00227DDC"/>
    <w:rsid w:val="0029364A"/>
    <w:rsid w:val="002A48B1"/>
    <w:rsid w:val="002E4F06"/>
    <w:rsid w:val="002E7A4A"/>
    <w:rsid w:val="003110AB"/>
    <w:rsid w:val="003332DE"/>
    <w:rsid w:val="00364965"/>
    <w:rsid w:val="0037373B"/>
    <w:rsid w:val="003C1833"/>
    <w:rsid w:val="003D47A6"/>
    <w:rsid w:val="003F1C99"/>
    <w:rsid w:val="00401584"/>
    <w:rsid w:val="0041652A"/>
    <w:rsid w:val="004373D1"/>
    <w:rsid w:val="004F0BCB"/>
    <w:rsid w:val="005161CD"/>
    <w:rsid w:val="005312BE"/>
    <w:rsid w:val="00554B44"/>
    <w:rsid w:val="0056543F"/>
    <w:rsid w:val="005D48CD"/>
    <w:rsid w:val="0060624A"/>
    <w:rsid w:val="00612359"/>
    <w:rsid w:val="0061270B"/>
    <w:rsid w:val="00634533"/>
    <w:rsid w:val="006541F7"/>
    <w:rsid w:val="0067700C"/>
    <w:rsid w:val="006B34E2"/>
    <w:rsid w:val="00704996"/>
    <w:rsid w:val="00737701"/>
    <w:rsid w:val="00745006"/>
    <w:rsid w:val="00760186"/>
    <w:rsid w:val="007C20D3"/>
    <w:rsid w:val="007D639F"/>
    <w:rsid w:val="007E6310"/>
    <w:rsid w:val="00816637"/>
    <w:rsid w:val="008327B3"/>
    <w:rsid w:val="00843B0C"/>
    <w:rsid w:val="00850202"/>
    <w:rsid w:val="00861894"/>
    <w:rsid w:val="0086514E"/>
    <w:rsid w:val="008670A5"/>
    <w:rsid w:val="00872F3C"/>
    <w:rsid w:val="00875CEE"/>
    <w:rsid w:val="00925FBC"/>
    <w:rsid w:val="0093033D"/>
    <w:rsid w:val="00953C00"/>
    <w:rsid w:val="009749F7"/>
    <w:rsid w:val="00994056"/>
    <w:rsid w:val="009A3BB5"/>
    <w:rsid w:val="009B2CE4"/>
    <w:rsid w:val="009C291B"/>
    <w:rsid w:val="009C6915"/>
    <w:rsid w:val="00A034FB"/>
    <w:rsid w:val="00A20E08"/>
    <w:rsid w:val="00A336A3"/>
    <w:rsid w:val="00A70908"/>
    <w:rsid w:val="00AA77DE"/>
    <w:rsid w:val="00AC090A"/>
    <w:rsid w:val="00B13A07"/>
    <w:rsid w:val="00B23DD6"/>
    <w:rsid w:val="00B46F30"/>
    <w:rsid w:val="00B5780F"/>
    <w:rsid w:val="00B60C12"/>
    <w:rsid w:val="00B7290E"/>
    <w:rsid w:val="00B84F76"/>
    <w:rsid w:val="00BA34DE"/>
    <w:rsid w:val="00BC2BD2"/>
    <w:rsid w:val="00BD0EB8"/>
    <w:rsid w:val="00BD1BF7"/>
    <w:rsid w:val="00C26A1C"/>
    <w:rsid w:val="00C26A52"/>
    <w:rsid w:val="00C71161"/>
    <w:rsid w:val="00C821B2"/>
    <w:rsid w:val="00C96F67"/>
    <w:rsid w:val="00CA656A"/>
    <w:rsid w:val="00CD238F"/>
    <w:rsid w:val="00CD766E"/>
    <w:rsid w:val="00CE050D"/>
    <w:rsid w:val="00CE2092"/>
    <w:rsid w:val="00D61B71"/>
    <w:rsid w:val="00DA2CAC"/>
    <w:rsid w:val="00DA3C5E"/>
    <w:rsid w:val="00E12770"/>
    <w:rsid w:val="00E522AB"/>
    <w:rsid w:val="00E641EE"/>
    <w:rsid w:val="00E85473"/>
    <w:rsid w:val="00EA0699"/>
    <w:rsid w:val="00EA7757"/>
    <w:rsid w:val="00ED57C1"/>
    <w:rsid w:val="00EE7B52"/>
    <w:rsid w:val="00F11636"/>
    <w:rsid w:val="00F472AB"/>
    <w:rsid w:val="00F60FEC"/>
    <w:rsid w:val="00F63D76"/>
    <w:rsid w:val="00F7296F"/>
    <w:rsid w:val="00F96BFA"/>
    <w:rsid w:val="00FB581F"/>
    <w:rsid w:val="00FB7432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DD6"/>
  </w:style>
  <w:style w:type="paragraph" w:styleId="Nadpis1">
    <w:name w:val="heading 1"/>
    <w:basedOn w:val="Normlny"/>
    <w:next w:val="Normlny"/>
    <w:link w:val="Nadpis1Char"/>
    <w:uiPriority w:val="9"/>
    <w:qFormat/>
    <w:rsid w:val="00A034FB"/>
    <w:pPr>
      <w:keepNext/>
      <w:spacing w:after="0" w:line="240" w:lineRule="auto"/>
      <w:outlineLvl w:val="0"/>
    </w:pPr>
    <w:rPr>
      <w:rFonts w:ascii="Times New Roman" w:hAnsi="Times New Roman" w:cs="Times New Roman"/>
      <w:b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45006"/>
    <w:pPr>
      <w:keepNext/>
      <w:spacing w:after="0" w:line="300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B23DD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23DD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23DD6"/>
    <w:rPr>
      <w:vertAlign w:val="superscript"/>
    </w:rPr>
  </w:style>
  <w:style w:type="table" w:styleId="Mriekatabuky">
    <w:name w:val="Table Grid"/>
    <w:basedOn w:val="Normlnatabuka"/>
    <w:uiPriority w:val="59"/>
    <w:rsid w:val="00B2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A034FB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CE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050D"/>
  </w:style>
  <w:style w:type="paragraph" w:styleId="Pta">
    <w:name w:val="footer"/>
    <w:basedOn w:val="Normlny"/>
    <w:link w:val="PtaChar"/>
    <w:uiPriority w:val="99"/>
    <w:unhideWhenUsed/>
    <w:rsid w:val="00CE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050D"/>
  </w:style>
  <w:style w:type="paragraph" w:styleId="Textbubliny">
    <w:name w:val="Balloon Text"/>
    <w:basedOn w:val="Normlny"/>
    <w:link w:val="TextbublinyChar"/>
    <w:uiPriority w:val="99"/>
    <w:semiHidden/>
    <w:unhideWhenUsed/>
    <w:rsid w:val="00CD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66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450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500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500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500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5006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745006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unhideWhenUsed/>
    <w:rsid w:val="00745006"/>
    <w:pPr>
      <w:autoSpaceDE w:val="0"/>
      <w:autoSpaceDN w:val="0"/>
      <w:adjustRightInd w:val="0"/>
      <w:spacing w:after="0" w:line="30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rsid w:val="00745006"/>
    <w:rPr>
      <w:rFonts w:ascii="Times New Roman" w:hAnsi="Times New Roman" w:cs="Times New Roman"/>
      <w:b/>
      <w:bCs/>
    </w:rPr>
  </w:style>
  <w:style w:type="table" w:styleId="Svetlmriekazvraznenie1">
    <w:name w:val="Light Grid Accent 1"/>
    <w:basedOn w:val="Normlnatabuka"/>
    <w:uiPriority w:val="62"/>
    <w:rsid w:val="00CE20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373D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373D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373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DD6"/>
  </w:style>
  <w:style w:type="paragraph" w:styleId="Nadpis1">
    <w:name w:val="heading 1"/>
    <w:basedOn w:val="Normlny"/>
    <w:next w:val="Normlny"/>
    <w:link w:val="Nadpis1Char"/>
    <w:uiPriority w:val="9"/>
    <w:qFormat/>
    <w:rsid w:val="00A034FB"/>
    <w:pPr>
      <w:keepNext/>
      <w:spacing w:after="0" w:line="240" w:lineRule="auto"/>
      <w:outlineLvl w:val="0"/>
    </w:pPr>
    <w:rPr>
      <w:rFonts w:ascii="Times New Roman" w:hAnsi="Times New Roman" w:cs="Times New Roman"/>
      <w:b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45006"/>
    <w:pPr>
      <w:keepNext/>
      <w:spacing w:after="0" w:line="300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B23DD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23DD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23DD6"/>
    <w:rPr>
      <w:vertAlign w:val="superscript"/>
    </w:rPr>
  </w:style>
  <w:style w:type="table" w:styleId="Mriekatabuky">
    <w:name w:val="Table Grid"/>
    <w:basedOn w:val="Normlnatabuka"/>
    <w:uiPriority w:val="59"/>
    <w:rsid w:val="00B2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A034FB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CE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050D"/>
  </w:style>
  <w:style w:type="paragraph" w:styleId="Pta">
    <w:name w:val="footer"/>
    <w:basedOn w:val="Normlny"/>
    <w:link w:val="PtaChar"/>
    <w:uiPriority w:val="99"/>
    <w:unhideWhenUsed/>
    <w:rsid w:val="00CE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050D"/>
  </w:style>
  <w:style w:type="paragraph" w:styleId="Textbubliny">
    <w:name w:val="Balloon Text"/>
    <w:basedOn w:val="Normlny"/>
    <w:link w:val="TextbublinyChar"/>
    <w:uiPriority w:val="99"/>
    <w:semiHidden/>
    <w:unhideWhenUsed/>
    <w:rsid w:val="00CD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66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450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500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500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500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5006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745006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unhideWhenUsed/>
    <w:rsid w:val="00745006"/>
    <w:pPr>
      <w:autoSpaceDE w:val="0"/>
      <w:autoSpaceDN w:val="0"/>
      <w:adjustRightInd w:val="0"/>
      <w:spacing w:after="0" w:line="30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rsid w:val="00745006"/>
    <w:rPr>
      <w:rFonts w:ascii="Times New Roman" w:hAnsi="Times New Roman" w:cs="Times New Roman"/>
      <w:b/>
      <w:bCs/>
    </w:rPr>
  </w:style>
  <w:style w:type="table" w:styleId="Svetlmriekazvraznenie1">
    <w:name w:val="Light Grid Accent 1"/>
    <w:basedOn w:val="Normlnatabuka"/>
    <w:uiPriority w:val="62"/>
    <w:rsid w:val="00CE20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373D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373D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373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7C90-CE05-471E-8B12-327A297C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Daubnerová Zlatica</dc:creator>
  <cp:lastModifiedBy>Falťan Juraj</cp:lastModifiedBy>
  <cp:revision>2</cp:revision>
  <cp:lastPrinted>2017-03-28T08:59:00Z</cp:lastPrinted>
  <dcterms:created xsi:type="dcterms:W3CDTF">2018-02-09T10:38:00Z</dcterms:created>
  <dcterms:modified xsi:type="dcterms:W3CDTF">2018-02-09T10:38:00Z</dcterms:modified>
</cp:coreProperties>
</file>