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A3C7" w14:textId="77777777" w:rsidR="00106CE3" w:rsidRDefault="00106CE3" w:rsidP="000339A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14:paraId="3F49C19D" w14:textId="77777777" w:rsidR="00AE0175" w:rsidRDefault="00AE0175" w:rsidP="000339A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651415">
        <w:rPr>
          <w:b/>
          <w:bCs/>
          <w:color w:val="000000" w:themeColor="text1"/>
          <w:sz w:val="22"/>
          <w:szCs w:val="22"/>
        </w:rPr>
        <w:t xml:space="preserve">Pomocné nástroje posúdenia hospodárnosti a efektívnosti, analýza rizík kontrolovaného verejného obstarávania a </w:t>
      </w:r>
      <w:r w:rsidRPr="00651415">
        <w:rPr>
          <w:b/>
          <w:iCs/>
          <w:color w:val="000000" w:themeColor="text1"/>
          <w:sz w:val="22"/>
          <w:szCs w:val="22"/>
        </w:rPr>
        <w:t xml:space="preserve">rizikové indikátory </w:t>
      </w:r>
      <w:proofErr w:type="spellStart"/>
      <w:r w:rsidRPr="00651415">
        <w:rPr>
          <w:b/>
          <w:bCs/>
          <w:color w:val="000000" w:themeColor="text1"/>
          <w:sz w:val="22"/>
          <w:szCs w:val="22"/>
        </w:rPr>
        <w:t>poukazujúce</w:t>
      </w:r>
      <w:proofErr w:type="spellEnd"/>
      <w:r w:rsidRPr="00651415">
        <w:rPr>
          <w:b/>
          <w:bCs/>
          <w:color w:val="000000" w:themeColor="text1"/>
          <w:sz w:val="22"/>
          <w:szCs w:val="22"/>
        </w:rPr>
        <w:t xml:space="preserve"> na porušenie  hospodárskej  súťaže alebo porušenia zákona o verejnom obstarávaní</w:t>
      </w:r>
    </w:p>
    <w:p w14:paraId="0B956A52" w14:textId="77777777" w:rsidR="00AE0175" w:rsidRDefault="00AE0175" w:rsidP="000339AC">
      <w:pPr>
        <w:pStyle w:val="Default"/>
        <w:ind w:left="709" w:hanging="709"/>
        <w:rPr>
          <w:b/>
          <w:bCs/>
          <w:color w:val="44546A" w:themeColor="text2"/>
          <w:sz w:val="22"/>
          <w:szCs w:val="22"/>
        </w:rPr>
      </w:pPr>
    </w:p>
    <w:p w14:paraId="7E1C8DCC" w14:textId="77777777" w:rsidR="00AE0175" w:rsidRPr="00651415" w:rsidRDefault="00AE0175" w:rsidP="000339AC">
      <w:pPr>
        <w:pStyle w:val="Default"/>
        <w:ind w:left="567" w:hanging="567"/>
        <w:outlineLvl w:val="0"/>
        <w:rPr>
          <w:b/>
          <w:bCs/>
          <w:color w:val="000000" w:themeColor="text1"/>
          <w:sz w:val="22"/>
          <w:szCs w:val="22"/>
        </w:rPr>
      </w:pPr>
      <w:r w:rsidRPr="00651415">
        <w:rPr>
          <w:b/>
          <w:bCs/>
          <w:color w:val="000000" w:themeColor="text1"/>
          <w:sz w:val="22"/>
          <w:szCs w:val="22"/>
        </w:rPr>
        <w:t>1.1     Pomocné nástroje posúdenia hospodárnosti a efektívnosti</w:t>
      </w:r>
    </w:p>
    <w:p w14:paraId="2878CC4A" w14:textId="77777777" w:rsidR="00AE0175" w:rsidRPr="00A54CB3" w:rsidRDefault="00AE0175" w:rsidP="000339AC">
      <w:pPr>
        <w:pStyle w:val="Odsekzoznamu"/>
        <w:numPr>
          <w:ilvl w:val="3"/>
          <w:numId w:val="18"/>
        </w:numPr>
        <w:spacing w:after="0" w:line="240" w:lineRule="auto"/>
        <w:ind w:left="567" w:hanging="567"/>
        <w:rPr>
          <w:rFonts w:cs="Calibri"/>
          <w:color w:val="auto"/>
          <w:sz w:val="22"/>
          <w:szCs w:val="22"/>
        </w:rPr>
      </w:pPr>
      <w:r w:rsidRPr="00A54CB3">
        <w:rPr>
          <w:rFonts w:cs="Calibri"/>
          <w:sz w:val="22"/>
          <w:szCs w:val="22"/>
        </w:rPr>
        <w:t>PPA aplikuje pomocné nástroje pri overení hospodárnosti a efektívnosti výdavkov projektu, ak ide o zákazku na dodanie tovaru, uskutočnenie stavebných prác alebo poskytnutie služby, ktorá nespĺňa podmienk</w:t>
      </w:r>
      <w:r w:rsidR="00A54CB3">
        <w:rPr>
          <w:rFonts w:cs="Calibri"/>
          <w:sz w:val="22"/>
          <w:szCs w:val="22"/>
        </w:rPr>
        <w:t xml:space="preserve">y podľa §5 ods. 2 alebo ods. 3 </w:t>
      </w:r>
      <w:r w:rsidRPr="00A54CB3">
        <w:rPr>
          <w:rFonts w:cs="Calibri"/>
          <w:sz w:val="22"/>
          <w:szCs w:val="22"/>
        </w:rPr>
        <w:t xml:space="preserve">na dodanie tovaru, uskutočnenie stavebných prác alebo poskytnutie služby (§ 111 odsek 1, resp. § 117 odsek 1 </w:t>
      </w:r>
      <w:r w:rsidRPr="00A54CB3">
        <w:rPr>
          <w:rFonts w:cs="Calibri"/>
          <w:color w:val="auto"/>
          <w:sz w:val="22"/>
          <w:szCs w:val="22"/>
        </w:rPr>
        <w:t>zákon č. 343/2015 Z. z. o verejnom obstarávaní a o zmene a doplnení niektorých zákonov v znení neskorších predpisov</w:t>
      </w:r>
      <w:r w:rsidRPr="00A54CB3">
        <w:rPr>
          <w:rFonts w:cs="Calibri"/>
          <w:sz w:val="22"/>
          <w:szCs w:val="22"/>
        </w:rPr>
        <w:t>).</w:t>
      </w:r>
    </w:p>
    <w:p w14:paraId="3D41EC0E" w14:textId="77777777" w:rsidR="00AE0175" w:rsidRPr="00A54CB3" w:rsidRDefault="00AE0175" w:rsidP="000339AC">
      <w:pPr>
        <w:pStyle w:val="Odsekzoznamu"/>
        <w:numPr>
          <w:ilvl w:val="3"/>
          <w:numId w:val="18"/>
        </w:numPr>
        <w:spacing w:after="0" w:line="240" w:lineRule="auto"/>
        <w:ind w:left="567" w:hanging="567"/>
        <w:rPr>
          <w:rFonts w:cs="Calibri"/>
          <w:color w:val="auto"/>
          <w:sz w:val="22"/>
          <w:szCs w:val="22"/>
        </w:rPr>
      </w:pPr>
      <w:r w:rsidRPr="00A54CB3">
        <w:rPr>
          <w:rFonts w:cs="Calibri"/>
          <w:sz w:val="22"/>
          <w:szCs w:val="22"/>
        </w:rPr>
        <w:t>Cieľom pomocných nástrojov je podpora pri analýze a posudzovaní hospodárnych a efektívnych projektov. Svojim charakterom zároveň preds</w:t>
      </w:r>
      <w:r w:rsidR="00A54CB3">
        <w:rPr>
          <w:rFonts w:cs="Calibri"/>
          <w:sz w:val="22"/>
          <w:szCs w:val="22"/>
        </w:rPr>
        <w:t xml:space="preserve">tavujú jedny </w:t>
      </w:r>
      <w:r w:rsidRPr="00A54CB3">
        <w:rPr>
          <w:rFonts w:cs="Calibri"/>
          <w:sz w:val="22"/>
          <w:szCs w:val="22"/>
        </w:rPr>
        <w:t xml:space="preserve">z najefektívnejších nástrojov podpory merania a hodnotenia účinkov intervencií. </w:t>
      </w:r>
    </w:p>
    <w:p w14:paraId="25099F44" w14:textId="77777777" w:rsidR="00AE0175" w:rsidRPr="00A54CB3" w:rsidRDefault="00AE0175" w:rsidP="000339AC">
      <w:pPr>
        <w:pStyle w:val="Odsekzoznamu"/>
        <w:numPr>
          <w:ilvl w:val="3"/>
          <w:numId w:val="18"/>
        </w:numPr>
        <w:spacing w:after="0" w:line="240" w:lineRule="auto"/>
        <w:ind w:left="567" w:hanging="567"/>
        <w:rPr>
          <w:rFonts w:cs="Calibri"/>
          <w:color w:val="auto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Pomocné nástroje svojim charakterom predstavujú prvky efektívneho posúdenia hospodárnosti a efektívnosti v rámci vybraných procesov riadenia ako aj kvantitatívne a kvalitatívne opatrenia na posilnenie miery istoty poskytovateľov pri výbere hospodárnych a efektívnych projektov. </w:t>
      </w:r>
    </w:p>
    <w:p w14:paraId="7D2FC6CC" w14:textId="77777777" w:rsidR="00AE0175" w:rsidRPr="00A54CB3" w:rsidRDefault="00AE0175" w:rsidP="000339AC">
      <w:pPr>
        <w:pStyle w:val="Odsekzoznamu"/>
        <w:numPr>
          <w:ilvl w:val="3"/>
          <w:numId w:val="18"/>
        </w:numPr>
        <w:spacing w:after="0" w:line="240" w:lineRule="auto"/>
        <w:ind w:left="567" w:hanging="567"/>
        <w:rPr>
          <w:rFonts w:cs="Calibri"/>
          <w:color w:val="auto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Výsledky identifikované aplikáciou pomocných nástrojov môžu predstavovať vstupy najmä v rámci hodnotenia </w:t>
      </w:r>
      <w:proofErr w:type="spellStart"/>
      <w:r w:rsidRPr="00A54CB3">
        <w:rPr>
          <w:rFonts w:cs="Calibri"/>
          <w:sz w:val="22"/>
          <w:szCs w:val="22"/>
        </w:rPr>
        <w:t>ŽoNFP</w:t>
      </w:r>
      <w:proofErr w:type="spellEnd"/>
      <w:r w:rsidRPr="00A54CB3">
        <w:rPr>
          <w:rFonts w:cs="Calibri"/>
          <w:sz w:val="22"/>
          <w:szCs w:val="22"/>
        </w:rPr>
        <w:t xml:space="preserve"> predložené k Záverečnej správe z výzvy príslušnej MAS</w:t>
      </w:r>
      <w:r w:rsidR="00651415">
        <w:rPr>
          <w:rFonts w:cs="Calibri"/>
          <w:sz w:val="22"/>
          <w:szCs w:val="22"/>
        </w:rPr>
        <w:t xml:space="preserve"> </w:t>
      </w:r>
      <w:r w:rsidR="00651415" w:rsidRPr="00A54CB3">
        <w:rPr>
          <w:rFonts w:cs="Calibri"/>
          <w:sz w:val="22"/>
          <w:szCs w:val="22"/>
        </w:rPr>
        <w:t>(ďal</w:t>
      </w:r>
      <w:r w:rsidR="00651415">
        <w:rPr>
          <w:rFonts w:cs="Calibri"/>
          <w:sz w:val="22"/>
          <w:szCs w:val="22"/>
        </w:rPr>
        <w:t>ej len „Záverečná správa</w:t>
      </w:r>
      <w:r w:rsidR="00651415" w:rsidRPr="00A54CB3">
        <w:rPr>
          <w:rFonts w:cs="Calibri"/>
          <w:sz w:val="22"/>
          <w:szCs w:val="22"/>
        </w:rPr>
        <w:t>“)</w:t>
      </w:r>
      <w:r w:rsidRPr="00A54CB3">
        <w:rPr>
          <w:rFonts w:cs="Calibri"/>
          <w:sz w:val="22"/>
          <w:szCs w:val="22"/>
        </w:rPr>
        <w:t xml:space="preserve">. </w:t>
      </w:r>
    </w:p>
    <w:p w14:paraId="2CEA6ACF" w14:textId="77777777" w:rsidR="00AE0175" w:rsidRPr="00A54CB3" w:rsidRDefault="00AE0175" w:rsidP="000339AC">
      <w:pPr>
        <w:pStyle w:val="Odsekzoznamu"/>
        <w:numPr>
          <w:ilvl w:val="3"/>
          <w:numId w:val="18"/>
        </w:numPr>
        <w:spacing w:after="0" w:line="240" w:lineRule="auto"/>
        <w:ind w:left="567" w:hanging="567"/>
        <w:rPr>
          <w:rFonts w:cs="Calibri"/>
          <w:color w:val="auto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PPA aplikuje pomocné nástroje pri overení hospodárnosti a efektívnosti výdavkov projektu v zmysle Metodického pokynu RO pre kontrolu verejného obstarávania vrátane kontroly hospodárnosti a efektívnosti zo dňa 16. októbra 2015. </w:t>
      </w:r>
    </w:p>
    <w:p w14:paraId="381053DA" w14:textId="77777777" w:rsidR="00AE0175" w:rsidRPr="00651415" w:rsidRDefault="00AE0175" w:rsidP="000339AC">
      <w:pPr>
        <w:pStyle w:val="Odsekzoznamu"/>
        <w:numPr>
          <w:ilvl w:val="3"/>
          <w:numId w:val="18"/>
        </w:numPr>
        <w:spacing w:after="0" w:line="240" w:lineRule="auto"/>
        <w:ind w:left="567" w:hanging="567"/>
        <w:rPr>
          <w:rFonts w:cs="Calibri"/>
          <w:b/>
          <w:color w:val="auto"/>
          <w:sz w:val="22"/>
          <w:szCs w:val="22"/>
          <w:u w:val="single"/>
        </w:rPr>
      </w:pPr>
      <w:r w:rsidRPr="00651415">
        <w:rPr>
          <w:rFonts w:cs="Calibri"/>
          <w:b/>
          <w:sz w:val="22"/>
          <w:szCs w:val="22"/>
          <w:u w:val="single"/>
        </w:rPr>
        <w:t xml:space="preserve">Prieskum trhu: </w:t>
      </w:r>
    </w:p>
    <w:p w14:paraId="656DA510" w14:textId="77777777" w:rsidR="00AE0175" w:rsidRPr="00A54CB3" w:rsidRDefault="00AE0175" w:rsidP="000339AC">
      <w:pPr>
        <w:numPr>
          <w:ilvl w:val="0"/>
          <w:numId w:val="5"/>
        </w:numPr>
        <w:spacing w:after="0" w:line="240" w:lineRule="auto"/>
        <w:ind w:left="993" w:hanging="426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PPA môže využiť „Prieskum trhu“ vo fáze hodnotenia </w:t>
      </w:r>
      <w:proofErr w:type="spellStart"/>
      <w:r w:rsidRPr="00A54CB3">
        <w:rPr>
          <w:rFonts w:cs="Calibri"/>
          <w:sz w:val="22"/>
          <w:szCs w:val="22"/>
        </w:rPr>
        <w:t>ŽoNFP</w:t>
      </w:r>
      <w:proofErr w:type="spellEnd"/>
      <w:r w:rsidRPr="00A54CB3">
        <w:rPr>
          <w:rFonts w:cs="Calibri"/>
          <w:sz w:val="22"/>
          <w:szCs w:val="22"/>
        </w:rPr>
        <w:t xml:space="preserve"> predložené k Záverečnej správe v prípade, ak informácie, ktoré sú výstupom realizovaného „Prieskumu trhu“ (možná cena dodaných tovarov, prác alebo služieb) pre neho môžu predstavovať podporu rozhodovania vo fáze hodnotenia </w:t>
      </w:r>
      <w:proofErr w:type="spellStart"/>
      <w:r w:rsidRPr="00A54CB3">
        <w:rPr>
          <w:rFonts w:cs="Calibri"/>
          <w:sz w:val="22"/>
          <w:szCs w:val="22"/>
        </w:rPr>
        <w:t>ŽoNFP</w:t>
      </w:r>
      <w:proofErr w:type="spellEnd"/>
      <w:r w:rsidRPr="00A54CB3">
        <w:rPr>
          <w:rFonts w:cs="Calibri"/>
          <w:sz w:val="22"/>
          <w:szCs w:val="22"/>
        </w:rPr>
        <w:t xml:space="preserve"> predložené k Záverečnej správe.</w:t>
      </w:r>
    </w:p>
    <w:p w14:paraId="3A6252F8" w14:textId="77777777" w:rsidR="00AE0175" w:rsidRPr="00A54CB3" w:rsidRDefault="00AE0175" w:rsidP="000339AC">
      <w:pPr>
        <w:numPr>
          <w:ilvl w:val="0"/>
          <w:numId w:val="5"/>
        </w:numPr>
        <w:spacing w:after="0" w:line="240" w:lineRule="auto"/>
        <w:ind w:left="993" w:hanging="426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PPA je povinná usmerniť žiadateľa o spôsobe a miere vykonania prieskumu trhu, akým spôsobom a do akej miery je tento povinný prieskum trhu vykonať. V podmienkach implementácie sa najviac uplatnilo pravidlo predstavujúce pre žiadateľa povinnosť oslovenia min. 3 záujemcov/uchádzačov/navrhovateľov na predmet zákazky tovaru, práce alebo služby s cieľom identifikácie aktuálnych úrovní cien. P</w:t>
      </w:r>
      <w:r w:rsidR="00651415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 xml:space="preserve"> je však oprávnen</w:t>
      </w:r>
      <w:r w:rsidR="00651415">
        <w:rPr>
          <w:rFonts w:cs="Calibri"/>
          <w:sz w:val="22"/>
          <w:szCs w:val="22"/>
        </w:rPr>
        <w:t>á</w:t>
      </w:r>
      <w:r w:rsidRPr="00A54CB3">
        <w:rPr>
          <w:rFonts w:cs="Calibri"/>
          <w:sz w:val="22"/>
          <w:szCs w:val="22"/>
        </w:rPr>
        <w:t xml:space="preserve"> v prípade, že na úrovni žiadateľa nie je možné osloviť min. 3 záujemcov akceptovať aj nižší počet oslovení za splnenia nasledovných podmienok: </w:t>
      </w:r>
    </w:p>
    <w:p w14:paraId="6915CD1B" w14:textId="77777777" w:rsidR="00AE0175" w:rsidRPr="00A54CB3" w:rsidRDefault="00AE0175" w:rsidP="000339AC">
      <w:pPr>
        <w:pStyle w:val="Default"/>
        <w:numPr>
          <w:ilvl w:val="0"/>
          <w:numId w:val="6"/>
        </w:numPr>
        <w:ind w:left="1418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PPA umožní vykonanie prieskumu trhu žiadateľom aj oslovením menšieho počtu záujemcov ako 3 na základe analýzy (napr. analýzy historických dát, alebo na základe špecifík žiadateľov, projektov a pod.); </w:t>
      </w:r>
    </w:p>
    <w:p w14:paraId="046A7CEC" w14:textId="77777777" w:rsidR="00AE0175" w:rsidRPr="00A54CB3" w:rsidRDefault="00AE0175" w:rsidP="000339AC">
      <w:pPr>
        <w:pStyle w:val="Default"/>
        <w:numPr>
          <w:ilvl w:val="0"/>
          <w:numId w:val="6"/>
        </w:numPr>
        <w:ind w:left="1418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žiadateľ objektívne zdôvodní nižší požadovaný počet oslovených záujemcov. </w:t>
      </w:r>
    </w:p>
    <w:p w14:paraId="044723BC" w14:textId="77777777" w:rsidR="00AE0175" w:rsidRPr="00A54CB3" w:rsidRDefault="00AE0175" w:rsidP="000339AC">
      <w:pPr>
        <w:numPr>
          <w:ilvl w:val="0"/>
          <w:numId w:val="5"/>
        </w:numPr>
        <w:spacing w:after="0" w:line="240" w:lineRule="auto"/>
        <w:ind w:left="993" w:hanging="426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PPA vykoná prieskum trhu  vo fáze hodnotenia </w:t>
      </w:r>
      <w:proofErr w:type="spellStart"/>
      <w:r w:rsidRPr="00A54CB3">
        <w:rPr>
          <w:rFonts w:cs="Calibri"/>
          <w:sz w:val="22"/>
          <w:szCs w:val="22"/>
        </w:rPr>
        <w:t>ŽoNFP</w:t>
      </w:r>
      <w:proofErr w:type="spellEnd"/>
      <w:r w:rsidRPr="00A54CB3">
        <w:rPr>
          <w:rFonts w:cs="Calibri"/>
          <w:sz w:val="22"/>
          <w:szCs w:val="22"/>
        </w:rPr>
        <w:t xml:space="preserve"> predložené k Záverečnej správe  vždy  v prípade, ak má podozrenie na neprimerané ceny v rámci rozpočtu projektu. PPA v prípade vykonávania prieskumu trhu na základe vzorky vykoná prieskum trhu vo fáze hodnotenia </w:t>
      </w:r>
      <w:proofErr w:type="spellStart"/>
      <w:r w:rsidRPr="00A54CB3">
        <w:rPr>
          <w:rFonts w:cs="Calibri"/>
          <w:sz w:val="22"/>
          <w:szCs w:val="22"/>
        </w:rPr>
        <w:t>ŽoNFP</w:t>
      </w:r>
      <w:proofErr w:type="spellEnd"/>
      <w:r w:rsidRPr="00A54CB3">
        <w:rPr>
          <w:rFonts w:cs="Calibri"/>
          <w:sz w:val="22"/>
          <w:szCs w:val="22"/>
        </w:rPr>
        <w:t xml:space="preserve"> predložené k Záverečnej správe - konania o žiadosti vtedy, ak PPA za posledný kalendárny rok nevykonal</w:t>
      </w:r>
      <w:r w:rsidR="00A54CB3" w:rsidRPr="00A54CB3">
        <w:rPr>
          <w:rFonts w:cs="Calibri"/>
          <w:sz w:val="22"/>
          <w:szCs w:val="22"/>
        </w:rPr>
        <w:t>a</w:t>
      </w:r>
      <w:r w:rsidRPr="00A54CB3">
        <w:rPr>
          <w:rFonts w:cs="Calibri"/>
          <w:sz w:val="22"/>
          <w:szCs w:val="22"/>
        </w:rPr>
        <w:t xml:space="preserve"> žiadny prieskum trhu. </w:t>
      </w:r>
    </w:p>
    <w:p w14:paraId="3832870A" w14:textId="77777777" w:rsidR="00AE0175" w:rsidRPr="00A54CB3" w:rsidRDefault="00AE0175" w:rsidP="000339AC">
      <w:pPr>
        <w:numPr>
          <w:ilvl w:val="0"/>
          <w:numId w:val="5"/>
        </w:numPr>
        <w:spacing w:after="0" w:line="240" w:lineRule="auto"/>
        <w:ind w:left="993" w:hanging="426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Výstupné informácie o vykonanom prieskume trhu sú zaznamenané v Zázname o vykonaní prieskumu trhu, v ktorom sú vyhodnotené výsledky prieskumu trhu z hľadiska najnižšej ceny, alebo ekonomicky najvýhodnejšej ponuky. </w:t>
      </w:r>
    </w:p>
    <w:p w14:paraId="057356C4" w14:textId="77777777" w:rsidR="00AE0175" w:rsidRPr="00A54CB3" w:rsidRDefault="00AE0175" w:rsidP="000339AC">
      <w:pPr>
        <w:numPr>
          <w:ilvl w:val="0"/>
          <w:numId w:val="5"/>
        </w:numPr>
        <w:spacing w:after="0" w:line="240" w:lineRule="auto"/>
        <w:ind w:left="993" w:hanging="426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Prieskum trhu vykonáva P</w:t>
      </w:r>
      <w:r w:rsidR="00A54CB3" w:rsidRPr="00A54CB3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 xml:space="preserve"> za využitia napr.: </w:t>
      </w:r>
    </w:p>
    <w:p w14:paraId="34D43F4C" w14:textId="77777777" w:rsidR="00AE0175" w:rsidRPr="00A54CB3" w:rsidRDefault="00AE0175" w:rsidP="00A96B3E">
      <w:pPr>
        <w:pStyle w:val="Default"/>
        <w:numPr>
          <w:ilvl w:val="0"/>
          <w:numId w:val="11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vlastnej databázy o tovaroch, prácach alebo služieb alebo; </w:t>
      </w:r>
    </w:p>
    <w:p w14:paraId="4D8D12E3" w14:textId="77777777" w:rsidR="00AE0175" w:rsidRPr="00A54CB3" w:rsidRDefault="00AE0175" w:rsidP="00A96B3E">
      <w:pPr>
        <w:pStyle w:val="Default"/>
        <w:numPr>
          <w:ilvl w:val="0"/>
          <w:numId w:val="11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dodávateľov alebo; </w:t>
      </w:r>
    </w:p>
    <w:p w14:paraId="381A64DC" w14:textId="77777777" w:rsidR="00AE0175" w:rsidRPr="00A54CB3" w:rsidRDefault="00AE0175" w:rsidP="00A96B3E">
      <w:pPr>
        <w:pStyle w:val="Default"/>
        <w:numPr>
          <w:ilvl w:val="0"/>
          <w:numId w:val="11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vyhľadávania cien na internete alebo; </w:t>
      </w:r>
    </w:p>
    <w:p w14:paraId="679C0FF4" w14:textId="77777777" w:rsidR="00AE0175" w:rsidRPr="00A54CB3" w:rsidRDefault="00AE0175" w:rsidP="00A96B3E">
      <w:pPr>
        <w:pStyle w:val="Default"/>
        <w:numPr>
          <w:ilvl w:val="0"/>
          <w:numId w:val="11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lastRenderedPageBreak/>
        <w:t xml:space="preserve"> aktuálnych cenníkov a katalógov firiem, resp. iných propagačných materiálov alebo; </w:t>
      </w:r>
    </w:p>
    <w:p w14:paraId="691D0125" w14:textId="77777777" w:rsidR="00AE0175" w:rsidRPr="00A54CB3" w:rsidRDefault="00AE0175" w:rsidP="00A96B3E">
      <w:pPr>
        <w:pStyle w:val="Default"/>
        <w:numPr>
          <w:ilvl w:val="0"/>
          <w:numId w:val="11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poštových alebo telekomunikačných služieb alebo; </w:t>
      </w:r>
    </w:p>
    <w:p w14:paraId="18C1CBCD" w14:textId="77777777" w:rsidR="00AE0175" w:rsidRPr="00A54CB3" w:rsidRDefault="00AE0175" w:rsidP="00A96B3E">
      <w:pPr>
        <w:pStyle w:val="Default"/>
        <w:numPr>
          <w:ilvl w:val="0"/>
          <w:numId w:val="11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osobným zisťovaním, resp. iným ekvivalentným spôsobom. </w:t>
      </w:r>
    </w:p>
    <w:p w14:paraId="5DB42567" w14:textId="77777777" w:rsidR="00AE0175" w:rsidRPr="00A54CB3" w:rsidRDefault="00AE0175" w:rsidP="000339AC">
      <w:pPr>
        <w:numPr>
          <w:ilvl w:val="0"/>
          <w:numId w:val="5"/>
        </w:numPr>
        <w:spacing w:after="0" w:line="240" w:lineRule="auto"/>
        <w:ind w:left="993" w:hanging="426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P</w:t>
      </w:r>
      <w:r w:rsidR="00A54CB3" w:rsidRPr="00A54CB3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 xml:space="preserve"> prieskum trhu ako nástroj podpory samostatne na svojej úrovni nie je povinný vykonať, ak je prieskum trhu nevykonateľný: </w:t>
      </w:r>
    </w:p>
    <w:p w14:paraId="630BC784" w14:textId="77777777" w:rsidR="00AE0175" w:rsidRPr="00A54CB3" w:rsidRDefault="00AE0175" w:rsidP="00A96B3E">
      <w:pPr>
        <w:pStyle w:val="Default"/>
        <w:numPr>
          <w:ilvl w:val="0"/>
          <w:numId w:val="7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z dôvodu neúmernej a neefektívnej časovej, administratívnej, technickej alebo odbornej náročnosti; </w:t>
      </w:r>
    </w:p>
    <w:p w14:paraId="55F210C2" w14:textId="77777777" w:rsidR="00AE0175" w:rsidRPr="00A54CB3" w:rsidRDefault="00AE0175" w:rsidP="00A96B3E">
      <w:pPr>
        <w:pStyle w:val="Default"/>
        <w:numPr>
          <w:ilvl w:val="0"/>
          <w:numId w:val="7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>ak časový posun medzi prieskum</w:t>
      </w:r>
      <w:r w:rsidR="00A54CB3" w:rsidRPr="00A54CB3">
        <w:rPr>
          <w:sz w:val="22"/>
          <w:szCs w:val="22"/>
        </w:rPr>
        <w:t>om trhu vykonaným PPA</w:t>
      </w:r>
      <w:r w:rsidRPr="00A54CB3">
        <w:rPr>
          <w:sz w:val="22"/>
          <w:szCs w:val="22"/>
        </w:rPr>
        <w:t xml:space="preserve"> a žiadateľom ovplyvňuje objektívnosť porovnávania získaných informácií (napr. ak z dôvodu časového rozdielu medzi predložením </w:t>
      </w:r>
      <w:proofErr w:type="spellStart"/>
      <w:r w:rsidRPr="00A54CB3">
        <w:rPr>
          <w:sz w:val="22"/>
          <w:szCs w:val="22"/>
        </w:rPr>
        <w:t>ŽoNFP</w:t>
      </w:r>
      <w:proofErr w:type="spellEnd"/>
      <w:r w:rsidRPr="00A54CB3">
        <w:rPr>
          <w:sz w:val="22"/>
          <w:szCs w:val="22"/>
        </w:rPr>
        <w:t xml:space="preserve"> a výdavkov deklarovaných v </w:t>
      </w:r>
      <w:proofErr w:type="spellStart"/>
      <w:r w:rsidRPr="00A54CB3">
        <w:rPr>
          <w:sz w:val="22"/>
          <w:szCs w:val="22"/>
        </w:rPr>
        <w:t>ŽoP</w:t>
      </w:r>
      <w:proofErr w:type="spellEnd"/>
      <w:r w:rsidRPr="00A54CB3">
        <w:rPr>
          <w:sz w:val="22"/>
          <w:szCs w:val="22"/>
        </w:rPr>
        <w:t xml:space="preserve"> vyplýva, že závery z vykonaného prieskumu trhu by pre P</w:t>
      </w:r>
      <w:r w:rsidR="00A54CB3" w:rsidRPr="00A54CB3">
        <w:rPr>
          <w:sz w:val="22"/>
          <w:szCs w:val="22"/>
        </w:rPr>
        <w:t>PA</w:t>
      </w:r>
      <w:r w:rsidRPr="00A54CB3">
        <w:rPr>
          <w:sz w:val="22"/>
          <w:szCs w:val="22"/>
        </w:rPr>
        <w:t xml:space="preserve"> nepredstavovali pridanú hodnotu pre posúdenie hospodárnosti a efektívnosti výdavkov); </w:t>
      </w:r>
    </w:p>
    <w:p w14:paraId="4279BB57" w14:textId="77777777" w:rsidR="00AE0175" w:rsidRPr="00A54CB3" w:rsidRDefault="00AE0175" w:rsidP="00A96B3E">
      <w:pPr>
        <w:pStyle w:val="Default"/>
        <w:numPr>
          <w:ilvl w:val="0"/>
          <w:numId w:val="7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 xml:space="preserve">ak identifikované zistenia v minulosti neposkytovali vzhľadom k skúsenostiam </w:t>
      </w:r>
      <w:r w:rsidR="00A54CB3" w:rsidRPr="00A54CB3">
        <w:rPr>
          <w:sz w:val="22"/>
          <w:szCs w:val="22"/>
        </w:rPr>
        <w:t xml:space="preserve">hodnotiteľov PPA </w:t>
      </w:r>
      <w:r w:rsidRPr="00A54CB3">
        <w:rPr>
          <w:sz w:val="22"/>
          <w:szCs w:val="22"/>
        </w:rPr>
        <w:t xml:space="preserve">pridanú hodnotu (napr. boli identifikované vysoké ceny, ktoré však sú dôsledkom neprimeraných technických ťažkosti pri realizácií projektu – napr. technická náročnosť pri stavebnej činnosti </w:t>
      </w:r>
      <w:r w:rsidRPr="00A54CB3">
        <w:rPr>
          <w:sz w:val="22"/>
          <w:szCs w:val="22"/>
        </w:rPr>
        <w:br/>
        <w:t xml:space="preserve">v nepriaznivých geografických podmienkach, resp. boli identifikované neprimerane nízke ceny, ktoré predstavujú vysoké riziko nízkej pridanej hodnoty/kvality projektu); </w:t>
      </w:r>
    </w:p>
    <w:p w14:paraId="5314E2C7" w14:textId="77777777" w:rsidR="00AE0175" w:rsidRPr="00A54CB3" w:rsidRDefault="00AE0175" w:rsidP="00A96B3E">
      <w:pPr>
        <w:pStyle w:val="Default"/>
        <w:numPr>
          <w:ilvl w:val="0"/>
          <w:numId w:val="7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>ak finančné náklady spojené s vykonaním prieskumu trhu sú neprimerané riziku vzniku nehospodárnych a neefektívnych výdavkov;</w:t>
      </w:r>
    </w:p>
    <w:p w14:paraId="634CD4E4" w14:textId="77777777" w:rsidR="00AE0175" w:rsidRPr="00A54CB3" w:rsidRDefault="00AE0175" w:rsidP="00A96B3E">
      <w:pPr>
        <w:pStyle w:val="Default"/>
        <w:numPr>
          <w:ilvl w:val="0"/>
          <w:numId w:val="7"/>
        </w:numPr>
        <w:ind w:left="1701" w:hanging="425"/>
        <w:rPr>
          <w:sz w:val="22"/>
          <w:szCs w:val="22"/>
        </w:rPr>
      </w:pPr>
      <w:r w:rsidRPr="00A54CB3">
        <w:rPr>
          <w:sz w:val="22"/>
          <w:szCs w:val="22"/>
        </w:rPr>
        <w:t>z ďalších dôvodov  vyplývajúcich z analýzy vykonanej na úrovni P</w:t>
      </w:r>
      <w:r w:rsidR="00A54CB3" w:rsidRPr="00A54CB3">
        <w:rPr>
          <w:sz w:val="22"/>
          <w:szCs w:val="22"/>
        </w:rPr>
        <w:t>PA</w:t>
      </w:r>
      <w:r w:rsidRPr="00A54CB3">
        <w:rPr>
          <w:sz w:val="22"/>
          <w:szCs w:val="22"/>
        </w:rPr>
        <w:t>.</w:t>
      </w:r>
    </w:p>
    <w:p w14:paraId="15901E8D" w14:textId="77777777" w:rsidR="000339AC" w:rsidRDefault="00AE0175" w:rsidP="000339AC">
      <w:pPr>
        <w:pStyle w:val="Odsekzoznamu"/>
        <w:numPr>
          <w:ilvl w:val="0"/>
          <w:numId w:val="26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je oprávnen</w:t>
      </w:r>
      <w:r w:rsidR="006A620F">
        <w:rPr>
          <w:rFonts w:cs="Calibri"/>
          <w:sz w:val="22"/>
          <w:szCs w:val="22"/>
        </w:rPr>
        <w:t>á</w:t>
      </w:r>
      <w:r w:rsidRPr="000339AC">
        <w:rPr>
          <w:rFonts w:cs="Calibri"/>
          <w:sz w:val="22"/>
          <w:szCs w:val="22"/>
        </w:rPr>
        <w:t xml:space="preserve"> v prípade, ak nie je možné prieskum trhu na jeho úrovni vykonať, zabezpečiť overenie hospodárnosti a efektívnosti výlučne prostredníctvom hodnotenia </w:t>
      </w:r>
      <w:proofErr w:type="spellStart"/>
      <w:r w:rsidRPr="000339AC">
        <w:rPr>
          <w:rFonts w:cs="Calibri"/>
          <w:sz w:val="22"/>
          <w:szCs w:val="22"/>
        </w:rPr>
        <w:t>ŽoNFP</w:t>
      </w:r>
      <w:proofErr w:type="spellEnd"/>
      <w:r w:rsidRPr="000339AC">
        <w:rPr>
          <w:rFonts w:cs="Calibri"/>
          <w:sz w:val="22"/>
          <w:szCs w:val="22"/>
        </w:rPr>
        <w:t xml:space="preserve"> </w:t>
      </w:r>
      <w:r w:rsidR="006A620F" w:rsidRPr="00A54CB3">
        <w:rPr>
          <w:rFonts w:cs="Calibri"/>
          <w:sz w:val="22"/>
          <w:szCs w:val="22"/>
        </w:rPr>
        <w:t xml:space="preserve">k Záverečnej správe </w:t>
      </w:r>
      <w:r w:rsidRPr="000339AC">
        <w:rPr>
          <w:rFonts w:cs="Calibri"/>
          <w:sz w:val="22"/>
          <w:szCs w:val="22"/>
        </w:rPr>
        <w:t>na základe hodnotiacich kritérií</w:t>
      </w:r>
      <w:r w:rsidR="006A620F">
        <w:rPr>
          <w:rFonts w:cs="Calibri"/>
          <w:sz w:val="22"/>
          <w:szCs w:val="22"/>
        </w:rPr>
        <w:t xml:space="preserve"> príslušnej MAS</w:t>
      </w:r>
      <w:r w:rsidRPr="000339AC">
        <w:rPr>
          <w:rFonts w:cs="Calibri"/>
          <w:sz w:val="22"/>
          <w:szCs w:val="22"/>
        </w:rPr>
        <w:t xml:space="preserve">. </w:t>
      </w:r>
    </w:p>
    <w:p w14:paraId="54F0B407" w14:textId="77777777" w:rsidR="000339AC" w:rsidRDefault="00AE0175" w:rsidP="000339AC">
      <w:pPr>
        <w:pStyle w:val="Odsekzoznamu"/>
        <w:numPr>
          <w:ilvl w:val="0"/>
          <w:numId w:val="26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zabezpečí posúdenie výsledkov prieskumu trhu (uvedených v Zápisnici z vykonaného prieskumu trhu) odborným hodnotiteľ</w:t>
      </w:r>
      <w:r w:rsidR="006A620F">
        <w:rPr>
          <w:rFonts w:cs="Calibri"/>
          <w:sz w:val="22"/>
          <w:szCs w:val="22"/>
        </w:rPr>
        <w:t>om</w:t>
      </w:r>
      <w:r w:rsidRPr="000339AC">
        <w:rPr>
          <w:rFonts w:cs="Calibri"/>
          <w:sz w:val="22"/>
          <w:szCs w:val="22"/>
        </w:rPr>
        <w:t xml:space="preserve"> v rámci hodnotenia </w:t>
      </w:r>
      <w:proofErr w:type="spellStart"/>
      <w:r w:rsidRPr="000339AC">
        <w:rPr>
          <w:rFonts w:cs="Calibri"/>
          <w:sz w:val="22"/>
          <w:szCs w:val="22"/>
        </w:rPr>
        <w:t>ŽoNFP</w:t>
      </w:r>
      <w:proofErr w:type="spellEnd"/>
      <w:r w:rsidR="006A620F">
        <w:rPr>
          <w:rFonts w:cs="Calibri"/>
          <w:sz w:val="22"/>
          <w:szCs w:val="22"/>
        </w:rPr>
        <w:t xml:space="preserve"> </w:t>
      </w:r>
      <w:r w:rsidR="006A620F" w:rsidRPr="00A54CB3">
        <w:rPr>
          <w:rFonts w:cs="Calibri"/>
          <w:sz w:val="22"/>
          <w:szCs w:val="22"/>
        </w:rPr>
        <w:t>k Záverečnej správe</w:t>
      </w:r>
      <w:r w:rsidRPr="000339AC">
        <w:rPr>
          <w:rFonts w:cs="Calibri"/>
          <w:sz w:val="22"/>
          <w:szCs w:val="22"/>
        </w:rPr>
        <w:t xml:space="preserve">. </w:t>
      </w:r>
    </w:p>
    <w:p w14:paraId="31376236" w14:textId="77777777" w:rsidR="00AE0175" w:rsidRPr="000339AC" w:rsidRDefault="00AE0175" w:rsidP="000339AC">
      <w:pPr>
        <w:pStyle w:val="Odsekzoznamu"/>
        <w:numPr>
          <w:ilvl w:val="0"/>
          <w:numId w:val="26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 xml:space="preserve">Posúdenie hospodárnosti a efektívnosti spočíva v: </w:t>
      </w:r>
    </w:p>
    <w:p w14:paraId="34BF7A26" w14:textId="77777777" w:rsidR="00AE0175" w:rsidRPr="00A54CB3" w:rsidRDefault="00AE0175" w:rsidP="000339AC">
      <w:pPr>
        <w:pStyle w:val="Default"/>
        <w:numPr>
          <w:ilvl w:val="0"/>
          <w:numId w:val="8"/>
        </w:numPr>
        <w:ind w:left="1134"/>
        <w:rPr>
          <w:sz w:val="22"/>
          <w:szCs w:val="22"/>
        </w:rPr>
      </w:pPr>
      <w:r w:rsidRPr="00A54CB3">
        <w:rPr>
          <w:sz w:val="22"/>
          <w:szCs w:val="22"/>
        </w:rPr>
        <w:t xml:space="preserve">analýze Zápisnice z vykonaného prieskumu trhu (alebo iného alternatívneho dokumentu) v prípade, že prieskum trhu vykonal žiadateľ, resp. partner; </w:t>
      </w:r>
    </w:p>
    <w:p w14:paraId="30BDD70D" w14:textId="77777777" w:rsidR="00AE0175" w:rsidRPr="00A54CB3" w:rsidRDefault="00AE0175" w:rsidP="000339AC">
      <w:pPr>
        <w:pStyle w:val="Default"/>
        <w:numPr>
          <w:ilvl w:val="0"/>
          <w:numId w:val="8"/>
        </w:numPr>
        <w:ind w:left="1134"/>
        <w:rPr>
          <w:sz w:val="22"/>
          <w:szCs w:val="22"/>
        </w:rPr>
      </w:pPr>
      <w:r w:rsidRPr="00A54CB3">
        <w:rPr>
          <w:sz w:val="22"/>
          <w:szCs w:val="22"/>
        </w:rPr>
        <w:t>porovnaní vlastného výsledku prieskumu trhu s výsledkom prieskumu trhu žiadateľa v prípade, že prieskum trhu vykonával</w:t>
      </w:r>
      <w:r w:rsidR="006A620F">
        <w:rPr>
          <w:sz w:val="22"/>
          <w:szCs w:val="22"/>
        </w:rPr>
        <w:t>a</w:t>
      </w:r>
      <w:r w:rsidRPr="00A54CB3">
        <w:rPr>
          <w:sz w:val="22"/>
          <w:szCs w:val="22"/>
        </w:rPr>
        <w:t xml:space="preserve"> aj P</w:t>
      </w:r>
      <w:r w:rsidR="006A620F">
        <w:rPr>
          <w:sz w:val="22"/>
          <w:szCs w:val="22"/>
        </w:rPr>
        <w:t>PA</w:t>
      </w:r>
      <w:r w:rsidRPr="00A54CB3">
        <w:rPr>
          <w:sz w:val="22"/>
          <w:szCs w:val="22"/>
        </w:rPr>
        <w:t xml:space="preserve">. </w:t>
      </w:r>
    </w:p>
    <w:p w14:paraId="7DEFDFFE" w14:textId="77777777" w:rsidR="00651415" w:rsidRDefault="00AE0175" w:rsidP="00651415">
      <w:pPr>
        <w:pStyle w:val="Odsekzoznamu"/>
        <w:numPr>
          <w:ilvl w:val="0"/>
          <w:numId w:val="28"/>
        </w:numPr>
        <w:spacing w:after="0" w:line="240" w:lineRule="auto"/>
        <w:ind w:left="567" w:hanging="567"/>
        <w:rPr>
          <w:rFonts w:cs="Calibri"/>
          <w:color w:val="000000" w:themeColor="text1"/>
          <w:sz w:val="22"/>
          <w:szCs w:val="22"/>
        </w:rPr>
      </w:pPr>
      <w:r w:rsidRPr="00651415">
        <w:rPr>
          <w:rFonts w:cs="Calibri"/>
          <w:color w:val="000000" w:themeColor="text1"/>
          <w:sz w:val="22"/>
          <w:szCs w:val="22"/>
        </w:rPr>
        <w:t>P</w:t>
      </w:r>
      <w:r w:rsidR="006A620F">
        <w:rPr>
          <w:rFonts w:cs="Calibri"/>
          <w:color w:val="000000" w:themeColor="text1"/>
          <w:sz w:val="22"/>
          <w:szCs w:val="22"/>
        </w:rPr>
        <w:t>PA</w:t>
      </w:r>
      <w:r w:rsidRPr="00651415">
        <w:rPr>
          <w:rFonts w:cs="Calibri"/>
          <w:color w:val="000000" w:themeColor="text1"/>
          <w:sz w:val="22"/>
          <w:szCs w:val="22"/>
        </w:rPr>
        <w:t xml:space="preserve"> v prípade, ak ceny jednotlivých tovarov, prác a služieb identifikovaných na základe ním vykonaného prieskumu trhu prevyšujú ceny identifikované žiadateľom, PPA stanoví na posúdenie hospodárnosti oprávnených výdavkov percentuálnu odchýlku, maximálne však do výšky 20 % nad  prieskumom zistenú cenu. Výdavky identifikované žiadateľom  nad stanovenú hranicu  percentuálnej odchýlky P</w:t>
      </w:r>
      <w:r w:rsidR="006A620F">
        <w:rPr>
          <w:rFonts w:cs="Calibri"/>
          <w:color w:val="000000" w:themeColor="text1"/>
          <w:sz w:val="22"/>
          <w:szCs w:val="22"/>
        </w:rPr>
        <w:t>PA</w:t>
      </w:r>
      <w:r w:rsidRPr="00651415">
        <w:rPr>
          <w:rFonts w:cs="Calibri"/>
          <w:color w:val="000000" w:themeColor="text1"/>
          <w:sz w:val="22"/>
          <w:szCs w:val="22"/>
        </w:rPr>
        <w:t xml:space="preserve"> považuje  za nehospodárne, </w:t>
      </w:r>
      <w:proofErr w:type="spellStart"/>
      <w:r w:rsidRPr="00651415">
        <w:rPr>
          <w:rFonts w:cs="Calibri"/>
          <w:color w:val="000000" w:themeColor="text1"/>
          <w:sz w:val="22"/>
          <w:szCs w:val="22"/>
        </w:rPr>
        <w:t>t.j</w:t>
      </w:r>
      <w:proofErr w:type="spellEnd"/>
      <w:r w:rsidRPr="00651415">
        <w:rPr>
          <w:rFonts w:cs="Calibri"/>
          <w:color w:val="000000" w:themeColor="text1"/>
          <w:sz w:val="22"/>
          <w:szCs w:val="22"/>
        </w:rPr>
        <w:t>. maximálna výška oprávnených výdavkov jednotkových cien žiadateľa/prijímateľa je výška oprávnených výdavkov stanovených P</w:t>
      </w:r>
      <w:r w:rsidR="006A620F">
        <w:rPr>
          <w:rFonts w:cs="Calibri"/>
          <w:color w:val="000000" w:themeColor="text1"/>
          <w:sz w:val="22"/>
          <w:szCs w:val="22"/>
        </w:rPr>
        <w:t>PA</w:t>
      </w:r>
      <w:r w:rsidRPr="00651415">
        <w:rPr>
          <w:rFonts w:cs="Calibri"/>
          <w:color w:val="000000" w:themeColor="text1"/>
          <w:sz w:val="22"/>
          <w:szCs w:val="22"/>
        </w:rPr>
        <w:t xml:space="preserve"> na základe ním vykonaného prieskumu trhu vrátane povolenej odchýlky. </w:t>
      </w:r>
    </w:p>
    <w:p w14:paraId="7670FE0B" w14:textId="77777777" w:rsidR="00AE0175" w:rsidRPr="00651415" w:rsidRDefault="00AE0175" w:rsidP="00651415">
      <w:pPr>
        <w:pStyle w:val="Odsekzoznamu"/>
        <w:numPr>
          <w:ilvl w:val="0"/>
          <w:numId w:val="28"/>
        </w:numPr>
        <w:spacing w:after="0" w:line="240" w:lineRule="auto"/>
        <w:ind w:left="567" w:hanging="567"/>
        <w:rPr>
          <w:rFonts w:cs="Calibri"/>
          <w:color w:val="000000" w:themeColor="text1"/>
          <w:sz w:val="22"/>
          <w:szCs w:val="22"/>
        </w:rPr>
      </w:pPr>
      <w:r w:rsidRPr="00651415">
        <w:rPr>
          <w:rFonts w:cs="Calibri"/>
          <w:sz w:val="22"/>
          <w:szCs w:val="22"/>
        </w:rPr>
        <w:t xml:space="preserve">Cieľom posúdenia výsledku prieskumu trhu bez ohľadu na subjekt, ktorý ho vykonal je identifikácia: </w:t>
      </w:r>
    </w:p>
    <w:p w14:paraId="67CEE60D" w14:textId="77777777" w:rsidR="00AE0175" w:rsidRPr="00A54CB3" w:rsidRDefault="00AE0175" w:rsidP="000339AC">
      <w:pPr>
        <w:pStyle w:val="Default"/>
        <w:numPr>
          <w:ilvl w:val="0"/>
          <w:numId w:val="9"/>
        </w:numPr>
        <w:ind w:left="1134"/>
        <w:rPr>
          <w:sz w:val="22"/>
          <w:szCs w:val="22"/>
        </w:rPr>
      </w:pPr>
      <w:r w:rsidRPr="00A54CB3">
        <w:rPr>
          <w:sz w:val="22"/>
          <w:szCs w:val="22"/>
        </w:rPr>
        <w:t xml:space="preserve">cenovo najvýhodnejšej ponuky a/alebo </w:t>
      </w:r>
    </w:p>
    <w:p w14:paraId="075C7CE2" w14:textId="77777777" w:rsidR="00AE0175" w:rsidRPr="00A54CB3" w:rsidRDefault="00AE0175" w:rsidP="000339AC">
      <w:pPr>
        <w:pStyle w:val="Default"/>
        <w:numPr>
          <w:ilvl w:val="0"/>
          <w:numId w:val="9"/>
        </w:numPr>
        <w:ind w:left="1134"/>
        <w:rPr>
          <w:sz w:val="22"/>
          <w:szCs w:val="22"/>
        </w:rPr>
      </w:pPr>
      <w:r w:rsidRPr="00A54CB3">
        <w:rPr>
          <w:sz w:val="22"/>
          <w:szCs w:val="22"/>
        </w:rPr>
        <w:t>ekonomicky najvýhodnejšej ponuky.</w:t>
      </w:r>
    </w:p>
    <w:p w14:paraId="022F9CC2" w14:textId="77777777" w:rsidR="00651415" w:rsidRDefault="00AE0175" w:rsidP="00651415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651415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651415">
        <w:rPr>
          <w:rFonts w:cs="Calibri"/>
          <w:sz w:val="22"/>
          <w:szCs w:val="22"/>
        </w:rPr>
        <w:t xml:space="preserve"> je povinn</w:t>
      </w:r>
      <w:r w:rsidR="006A620F">
        <w:rPr>
          <w:rFonts w:cs="Calibri"/>
          <w:sz w:val="22"/>
          <w:szCs w:val="22"/>
        </w:rPr>
        <w:t>á</w:t>
      </w:r>
      <w:r w:rsidRPr="00651415">
        <w:rPr>
          <w:rFonts w:cs="Calibri"/>
          <w:sz w:val="22"/>
          <w:szCs w:val="22"/>
        </w:rPr>
        <w:t xml:space="preserve"> v rámci hodnotenia </w:t>
      </w:r>
      <w:proofErr w:type="spellStart"/>
      <w:r w:rsidRPr="00651415">
        <w:rPr>
          <w:rFonts w:cs="Calibri"/>
          <w:sz w:val="22"/>
          <w:szCs w:val="22"/>
        </w:rPr>
        <w:t>ŽoNFP</w:t>
      </w:r>
      <w:proofErr w:type="spellEnd"/>
      <w:r w:rsidR="006A620F">
        <w:rPr>
          <w:rFonts w:cs="Calibri"/>
          <w:sz w:val="22"/>
          <w:szCs w:val="22"/>
        </w:rPr>
        <w:t xml:space="preserve"> </w:t>
      </w:r>
      <w:r w:rsidR="006A620F" w:rsidRPr="00A54CB3">
        <w:rPr>
          <w:rFonts w:cs="Calibri"/>
          <w:sz w:val="22"/>
          <w:szCs w:val="22"/>
        </w:rPr>
        <w:t>k Záverečnej správe</w:t>
      </w:r>
      <w:r w:rsidRPr="00651415">
        <w:rPr>
          <w:rFonts w:cs="Calibri"/>
          <w:sz w:val="22"/>
          <w:szCs w:val="22"/>
        </w:rPr>
        <w:t xml:space="preserve"> preferovať ekonomicky najvýhodnejšiu ponuku pred cenovo najvýhodnejšou ponukou v prípade aplikácie </w:t>
      </w:r>
      <w:proofErr w:type="spellStart"/>
      <w:r w:rsidRPr="00651415">
        <w:rPr>
          <w:rFonts w:cs="Calibri"/>
          <w:sz w:val="22"/>
          <w:szCs w:val="22"/>
        </w:rPr>
        <w:t>benchmarku</w:t>
      </w:r>
      <w:proofErr w:type="spellEnd"/>
      <w:r w:rsidRPr="00651415">
        <w:rPr>
          <w:rFonts w:cs="Calibri"/>
          <w:sz w:val="22"/>
          <w:szCs w:val="22"/>
        </w:rPr>
        <w:t xml:space="preserve"> - na základe ktorého je zrejmé, že dosiahnutý </w:t>
      </w:r>
      <w:proofErr w:type="spellStart"/>
      <w:r w:rsidRPr="00651415">
        <w:rPr>
          <w:rFonts w:cs="Calibri"/>
          <w:sz w:val="22"/>
          <w:szCs w:val="22"/>
        </w:rPr>
        <w:t>benchmark</w:t>
      </w:r>
      <w:proofErr w:type="spellEnd"/>
      <w:r w:rsidRPr="00651415">
        <w:rPr>
          <w:rFonts w:cs="Calibri"/>
          <w:sz w:val="22"/>
          <w:szCs w:val="22"/>
        </w:rPr>
        <w:t xml:space="preserve"> ekonomicky najvýhodnejšej ponuky je vyšší ako </w:t>
      </w:r>
      <w:proofErr w:type="spellStart"/>
      <w:r w:rsidRPr="00651415">
        <w:rPr>
          <w:rFonts w:cs="Calibri"/>
          <w:sz w:val="22"/>
          <w:szCs w:val="22"/>
        </w:rPr>
        <w:t>benchmark</w:t>
      </w:r>
      <w:proofErr w:type="spellEnd"/>
      <w:r w:rsidRPr="00651415">
        <w:rPr>
          <w:rFonts w:cs="Calibri"/>
          <w:sz w:val="22"/>
          <w:szCs w:val="22"/>
        </w:rPr>
        <w:t xml:space="preserve"> pri cenovo najvýhodnejšej ponuke. V prípade, že P</w:t>
      </w:r>
      <w:r w:rsidR="006A620F">
        <w:rPr>
          <w:rFonts w:cs="Calibri"/>
          <w:sz w:val="22"/>
          <w:szCs w:val="22"/>
        </w:rPr>
        <w:t>PA</w:t>
      </w:r>
      <w:r w:rsidRPr="00651415">
        <w:rPr>
          <w:rFonts w:cs="Calibri"/>
          <w:sz w:val="22"/>
          <w:szCs w:val="22"/>
        </w:rPr>
        <w:t xml:space="preserve"> </w:t>
      </w:r>
      <w:proofErr w:type="spellStart"/>
      <w:r w:rsidRPr="00651415">
        <w:rPr>
          <w:rFonts w:cs="Calibri"/>
          <w:sz w:val="22"/>
          <w:szCs w:val="22"/>
        </w:rPr>
        <w:t>benchmark</w:t>
      </w:r>
      <w:proofErr w:type="spellEnd"/>
      <w:r w:rsidRPr="00651415">
        <w:rPr>
          <w:rFonts w:cs="Calibri"/>
          <w:sz w:val="22"/>
          <w:szCs w:val="22"/>
        </w:rPr>
        <w:t xml:space="preserve"> nevyužíva, cenovo najvýhodnejšia ponuka je najhospodárnejšou. </w:t>
      </w:r>
    </w:p>
    <w:p w14:paraId="779D69DB" w14:textId="77777777" w:rsidR="00AE0175" w:rsidRPr="00651415" w:rsidRDefault="00AE0175" w:rsidP="000339AC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651415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651415">
        <w:rPr>
          <w:rFonts w:cs="Calibri"/>
          <w:sz w:val="22"/>
          <w:szCs w:val="22"/>
        </w:rPr>
        <w:t xml:space="preserve"> v prípade vykonania prieskumu trhu je povinný uchovávať všetky podklady z vykonania prieskumu trhu spolu so závermi z vykonaného prieskumu. </w:t>
      </w:r>
    </w:p>
    <w:p w14:paraId="6CF2FD48" w14:textId="77777777" w:rsidR="00AE0175" w:rsidRPr="00651415" w:rsidRDefault="000339AC" w:rsidP="000339AC">
      <w:pPr>
        <w:pStyle w:val="Nadpis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478594277"/>
      <w:r w:rsidRPr="006514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1.2      </w:t>
      </w:r>
      <w:r w:rsidR="00AE0175" w:rsidRPr="006514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Finančné limity na úrovni jednotkových cien</w:t>
      </w:r>
      <w:bookmarkEnd w:id="0"/>
    </w:p>
    <w:p w14:paraId="40EB9457" w14:textId="77777777" w:rsidR="000339AC" w:rsidRDefault="00AE0175" w:rsidP="000339AC">
      <w:pPr>
        <w:pStyle w:val="Odsekzoznamu"/>
        <w:numPr>
          <w:ilvl w:val="0"/>
          <w:numId w:val="19"/>
        </w:numPr>
        <w:spacing w:after="0" w:line="240" w:lineRule="auto"/>
        <w:ind w:left="567" w:hanging="567"/>
        <w:rPr>
          <w:rFonts w:cs="Calibri"/>
          <w:color w:val="000000" w:themeColor="text1"/>
          <w:sz w:val="22"/>
          <w:szCs w:val="22"/>
        </w:rPr>
      </w:pPr>
      <w:r w:rsidRPr="000339AC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0339AC">
        <w:rPr>
          <w:rFonts w:cs="Calibri"/>
          <w:color w:val="000000" w:themeColor="text1"/>
          <w:sz w:val="22"/>
          <w:szCs w:val="22"/>
        </w:rPr>
        <w:t xml:space="preserve"> pri overení neprekročenia maximálneho limitu na jednotkové ceny porovnáva definované limity s oprávnenými výdavkami rozpočtu projektu v</w:t>
      </w:r>
      <w:r w:rsidR="006A620F">
        <w:rPr>
          <w:rFonts w:cs="Calibri"/>
          <w:color w:val="000000" w:themeColor="text1"/>
          <w:sz w:val="22"/>
          <w:szCs w:val="22"/>
        </w:rPr>
        <w:t> </w:t>
      </w:r>
      <w:proofErr w:type="spellStart"/>
      <w:r w:rsidRPr="000339AC">
        <w:rPr>
          <w:rFonts w:cs="Calibri"/>
          <w:color w:val="000000" w:themeColor="text1"/>
          <w:sz w:val="22"/>
          <w:szCs w:val="22"/>
        </w:rPr>
        <w:t>ŽoNFP</w:t>
      </w:r>
      <w:proofErr w:type="spellEnd"/>
      <w:r w:rsidR="006A620F">
        <w:rPr>
          <w:rFonts w:cs="Calibri"/>
          <w:color w:val="000000" w:themeColor="text1"/>
          <w:sz w:val="22"/>
          <w:szCs w:val="22"/>
        </w:rPr>
        <w:t xml:space="preserve"> </w:t>
      </w:r>
      <w:r w:rsidR="006A620F" w:rsidRPr="00A54CB3">
        <w:rPr>
          <w:rFonts w:cs="Calibri"/>
          <w:sz w:val="22"/>
          <w:szCs w:val="22"/>
        </w:rPr>
        <w:t>k Záverečnej správe</w:t>
      </w:r>
      <w:r w:rsidRPr="000339AC">
        <w:rPr>
          <w:rFonts w:cs="Calibri"/>
          <w:color w:val="000000" w:themeColor="text1"/>
          <w:sz w:val="22"/>
          <w:szCs w:val="22"/>
        </w:rPr>
        <w:t xml:space="preserve">. </w:t>
      </w:r>
    </w:p>
    <w:p w14:paraId="28A697B6" w14:textId="77777777" w:rsidR="000339AC" w:rsidRDefault="00AE0175" w:rsidP="000339AC">
      <w:pPr>
        <w:pStyle w:val="Odsekzoznamu"/>
        <w:numPr>
          <w:ilvl w:val="0"/>
          <w:numId w:val="19"/>
        </w:numPr>
        <w:spacing w:after="0" w:line="240" w:lineRule="auto"/>
        <w:ind w:left="567" w:hanging="567"/>
        <w:rPr>
          <w:rFonts w:cs="Calibri"/>
          <w:color w:val="000000" w:themeColor="text1"/>
          <w:sz w:val="22"/>
          <w:szCs w:val="22"/>
        </w:rPr>
      </w:pPr>
      <w:r w:rsidRPr="000339AC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0339AC">
        <w:rPr>
          <w:rFonts w:cs="Calibri"/>
          <w:color w:val="000000" w:themeColor="text1"/>
          <w:sz w:val="22"/>
          <w:szCs w:val="22"/>
        </w:rPr>
        <w:t xml:space="preserve"> zníži oprávnené výdavky predloženého rozpočtu projektu, ktoré prekračujú limit jednotkových cien stanovených P</w:t>
      </w:r>
      <w:r w:rsidR="006A620F">
        <w:rPr>
          <w:rFonts w:cs="Calibri"/>
          <w:color w:val="000000" w:themeColor="text1"/>
          <w:sz w:val="22"/>
          <w:szCs w:val="22"/>
        </w:rPr>
        <w:t>PA</w:t>
      </w:r>
      <w:r w:rsidRPr="000339AC">
        <w:rPr>
          <w:rFonts w:cs="Calibri"/>
          <w:color w:val="000000" w:themeColor="text1"/>
          <w:sz w:val="22"/>
          <w:szCs w:val="22"/>
        </w:rPr>
        <w:t xml:space="preserve"> v rámci procesu  hodnotenia </w:t>
      </w:r>
      <w:proofErr w:type="spellStart"/>
      <w:r w:rsidRPr="000339AC">
        <w:rPr>
          <w:rFonts w:cs="Calibri"/>
          <w:color w:val="000000" w:themeColor="text1"/>
          <w:sz w:val="22"/>
          <w:szCs w:val="22"/>
        </w:rPr>
        <w:t>ŽoNFP</w:t>
      </w:r>
      <w:proofErr w:type="spellEnd"/>
      <w:r w:rsidR="006A620F">
        <w:rPr>
          <w:rFonts w:cs="Calibri"/>
          <w:color w:val="000000" w:themeColor="text1"/>
          <w:sz w:val="22"/>
          <w:szCs w:val="22"/>
        </w:rPr>
        <w:t xml:space="preserve"> </w:t>
      </w:r>
      <w:r w:rsidR="006A620F" w:rsidRPr="00A54CB3">
        <w:rPr>
          <w:rFonts w:cs="Calibri"/>
          <w:sz w:val="22"/>
          <w:szCs w:val="22"/>
        </w:rPr>
        <w:t>k Záverečnej správe</w:t>
      </w:r>
      <w:r w:rsidRPr="000339AC">
        <w:rPr>
          <w:rFonts w:cs="Calibri"/>
          <w:color w:val="000000" w:themeColor="text1"/>
          <w:sz w:val="22"/>
          <w:szCs w:val="22"/>
        </w:rPr>
        <w:t xml:space="preserve">. </w:t>
      </w:r>
    </w:p>
    <w:p w14:paraId="1A16ED3F" w14:textId="77777777" w:rsidR="00AE0175" w:rsidRPr="000339AC" w:rsidRDefault="00AE0175" w:rsidP="000339AC">
      <w:pPr>
        <w:pStyle w:val="Odsekzoznamu"/>
        <w:numPr>
          <w:ilvl w:val="0"/>
          <w:numId w:val="19"/>
        </w:numPr>
        <w:spacing w:after="0" w:line="240" w:lineRule="auto"/>
        <w:ind w:left="567" w:hanging="567"/>
        <w:rPr>
          <w:rFonts w:cs="Calibri"/>
          <w:color w:val="000000" w:themeColor="text1"/>
          <w:sz w:val="22"/>
          <w:szCs w:val="22"/>
        </w:rPr>
      </w:pPr>
      <w:r w:rsidRPr="000339AC">
        <w:rPr>
          <w:rFonts w:cs="Calibri"/>
          <w:sz w:val="22"/>
          <w:szCs w:val="22"/>
        </w:rPr>
        <w:t>P</w:t>
      </w:r>
      <w:r w:rsidR="006A620F">
        <w:rPr>
          <w:rFonts w:cs="Calibri"/>
          <w:sz w:val="22"/>
          <w:szCs w:val="22"/>
        </w:rPr>
        <w:t>PA</w:t>
      </w:r>
      <w:r w:rsidRPr="000339AC">
        <w:rPr>
          <w:rFonts w:cs="Calibri"/>
          <w:color w:val="000000" w:themeColor="text1"/>
          <w:sz w:val="22"/>
          <w:szCs w:val="22"/>
        </w:rPr>
        <w:t xml:space="preserve"> je povinn</w:t>
      </w:r>
      <w:r w:rsidR="006A620F">
        <w:rPr>
          <w:rFonts w:cs="Calibri"/>
          <w:color w:val="000000" w:themeColor="text1"/>
          <w:sz w:val="22"/>
          <w:szCs w:val="22"/>
        </w:rPr>
        <w:t>á</w:t>
      </w:r>
      <w:r w:rsidRPr="000339AC">
        <w:rPr>
          <w:rFonts w:cs="Calibri"/>
          <w:color w:val="000000" w:themeColor="text1"/>
          <w:sz w:val="22"/>
          <w:szCs w:val="22"/>
        </w:rPr>
        <w:t xml:space="preserve"> uchovávať podpornú dokumentáciu potvrdzujúcu určenie finančných limitov a uchovávať podpornú dokumentáciu, na základe ktorej boli finančné limity na úrovni jednotkových cien stanovené. </w:t>
      </w:r>
    </w:p>
    <w:p w14:paraId="7C985257" w14:textId="77777777" w:rsidR="00AE0175" w:rsidRPr="00A54CB3" w:rsidRDefault="00AE0175" w:rsidP="000339AC">
      <w:pPr>
        <w:pStyle w:val="Odsekzoznamu"/>
        <w:spacing w:after="0" w:line="240" w:lineRule="auto"/>
        <w:ind w:left="1418"/>
        <w:rPr>
          <w:rFonts w:cs="Calibri"/>
          <w:sz w:val="22"/>
          <w:szCs w:val="22"/>
        </w:rPr>
      </w:pPr>
    </w:p>
    <w:p w14:paraId="7A9BC63E" w14:textId="77777777" w:rsidR="00AE0175" w:rsidRPr="00651415" w:rsidRDefault="000339AC" w:rsidP="000339AC">
      <w:pPr>
        <w:pStyle w:val="Default"/>
        <w:ind w:left="709" w:hanging="709"/>
        <w:rPr>
          <w:b/>
          <w:bCs/>
          <w:color w:val="000000" w:themeColor="text1"/>
          <w:sz w:val="22"/>
          <w:szCs w:val="22"/>
        </w:rPr>
      </w:pPr>
      <w:r w:rsidRPr="00651415">
        <w:rPr>
          <w:b/>
          <w:iCs/>
          <w:color w:val="000000" w:themeColor="text1"/>
          <w:sz w:val="22"/>
          <w:szCs w:val="22"/>
        </w:rPr>
        <w:t xml:space="preserve">1.3      </w:t>
      </w:r>
      <w:r w:rsidR="00AE0175" w:rsidRPr="00651415">
        <w:rPr>
          <w:b/>
          <w:bCs/>
          <w:color w:val="000000" w:themeColor="text1"/>
          <w:sz w:val="22"/>
          <w:szCs w:val="22"/>
        </w:rPr>
        <w:t>Analýza rizík kontrolovaného verejného obstarávania a následný postup</w:t>
      </w:r>
    </w:p>
    <w:p w14:paraId="4511356E" w14:textId="77777777" w:rsidR="000339AC" w:rsidRDefault="00AE0175" w:rsidP="000339AC">
      <w:pPr>
        <w:pStyle w:val="Odsekzoznamu"/>
        <w:numPr>
          <w:ilvl w:val="0"/>
          <w:numId w:val="2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 xml:space="preserve">Analýza rizík kontrolovaného VO (ďalej len „analýza rizík“) je nástroj, ktorý by mal identifikovať riziko VO z pohľadu potrebnej spolupráce s ÚVO a to spôsobom vykonania kontroly podľa § 169 ods. 4 ZVO, pričom sústredením odbornej podpory ÚVO na rizikové VO bude zabezpečený zvýšený dohľad na zákazky s potenciálne vyššou mierou chybovosti. Zároveň týmto nástrojom bude eliminované neprimerané zaťaženie ÚVO v rámci žiadostí o kontrolu VO, ktoré nepredstavujú zvýšené riziko z pohľadu ich zložitosti alebo chybovosti a súčasne tak nebude dochádzať k neprimeraným predĺženiam výkonu kontroly. </w:t>
      </w:r>
    </w:p>
    <w:p w14:paraId="403B8F02" w14:textId="77777777" w:rsidR="000339AC" w:rsidRDefault="00AE0175" w:rsidP="000339AC">
      <w:pPr>
        <w:pStyle w:val="Odsekzoznamu"/>
        <w:numPr>
          <w:ilvl w:val="0"/>
          <w:numId w:val="2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Povinnosť vykonať analýzu rizík sa vzťahuje na nadlimitné a podlimitné zákazky pred podpisom zmluvy, nadlimitné a podlimitné zákazky po podpise zmluvy a na zákazky podľa § 5ods. 4 ZVO.</w:t>
      </w:r>
    </w:p>
    <w:p w14:paraId="47EA1598" w14:textId="77777777" w:rsidR="00AE0175" w:rsidRPr="000339AC" w:rsidRDefault="00AE0175" w:rsidP="000339AC">
      <w:pPr>
        <w:pStyle w:val="Odsekzoznamu"/>
        <w:numPr>
          <w:ilvl w:val="0"/>
          <w:numId w:val="2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Povinnosť P</w:t>
      </w:r>
      <w:r w:rsidR="006A620F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aplikovať analýzu rizík v zmysle predošlého bodu sa nevzťahuje na nasledovné situácie:</w:t>
      </w:r>
    </w:p>
    <w:p w14:paraId="7A4B4833" w14:textId="77777777" w:rsidR="00AE0175" w:rsidRPr="00A54CB3" w:rsidRDefault="00AE0175" w:rsidP="000339AC">
      <w:pPr>
        <w:pStyle w:val="Odsekzoznamu"/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425"/>
        <w:contextualSpacing w:val="0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postup P</w:t>
      </w:r>
      <w:r w:rsidR="006A620F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 xml:space="preserve"> podľa § 41 zákona o príspevku z EŠIF;</w:t>
      </w:r>
    </w:p>
    <w:p w14:paraId="351DC084" w14:textId="77777777" w:rsidR="00AE0175" w:rsidRPr="00A54CB3" w:rsidRDefault="00AE0175" w:rsidP="000339AC">
      <w:pPr>
        <w:pStyle w:val="Odsekzoznamu"/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425"/>
        <w:contextualSpacing w:val="0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VO v rámci ktorého existuje mediálny podnet, ktorý indikuje možné vážne porušenia ZVO;</w:t>
      </w:r>
    </w:p>
    <w:p w14:paraId="516F68AF" w14:textId="77777777" w:rsidR="00AE0175" w:rsidRPr="00A54CB3" w:rsidRDefault="00AE0175" w:rsidP="000339AC">
      <w:pPr>
        <w:pStyle w:val="Odsekzoznamu"/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425"/>
        <w:contextualSpacing w:val="0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 xml:space="preserve">v rámci daného verejného obstarávania už bola zo strany ÚVO vykonaná kontrola podľa § 169 ZVO (napr. v prípade, že prijímateľ dá podnet na kontrolu sám </w:t>
      </w:r>
      <w:r w:rsidRPr="00A54CB3">
        <w:rPr>
          <w:rFonts w:cs="Calibri"/>
          <w:sz w:val="22"/>
          <w:szCs w:val="22"/>
        </w:rPr>
        <w:br/>
        <w:t>na seba, alebo o kontrolu požiadal</w:t>
      </w:r>
      <w:r w:rsidR="009F71DD">
        <w:rPr>
          <w:rFonts w:cs="Calibri"/>
          <w:sz w:val="22"/>
          <w:szCs w:val="22"/>
        </w:rPr>
        <w:t>a</w:t>
      </w:r>
      <w:r w:rsidRPr="00A54CB3">
        <w:rPr>
          <w:rFonts w:cs="Calibri"/>
          <w:sz w:val="22"/>
          <w:szCs w:val="22"/>
        </w:rPr>
        <w:t xml:space="preserve"> P</w:t>
      </w:r>
      <w:r w:rsidR="009F71DD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>).</w:t>
      </w:r>
    </w:p>
    <w:p w14:paraId="3A0FEE85" w14:textId="77777777" w:rsidR="00AE0175" w:rsidRPr="00A54CB3" w:rsidRDefault="00AE0175" w:rsidP="000339AC">
      <w:pPr>
        <w:spacing w:after="0" w:line="240" w:lineRule="auto"/>
        <w:ind w:left="567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V týchto prípadoch P</w:t>
      </w:r>
      <w:r w:rsidR="009F71DD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>, okrem prípadu v písm. c), požiada ÚVO o kontrolu VO bez ohľadu na potenciálny výsledok analýzy rizík.</w:t>
      </w:r>
    </w:p>
    <w:p w14:paraId="103E4234" w14:textId="77777777" w:rsidR="000339AC" w:rsidRDefault="00AE0175" w:rsidP="000339AC">
      <w:pPr>
        <w:pStyle w:val="Odsekzoznamu"/>
        <w:numPr>
          <w:ilvl w:val="0"/>
          <w:numId w:val="2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vykoná analýzu rizík bezodkladne po predložení dokumentácie ku kontrole VO zo strany prijímateľa. Pokiaľ sú nedostatky tejto dokumentácie takého charakteru, že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nevie vykonať analýzu rizík (pretože nevie odpovedať na všetky otázky),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je povinn</w:t>
      </w:r>
      <w:r w:rsidR="009F71DD">
        <w:rPr>
          <w:rFonts w:cs="Calibri"/>
          <w:sz w:val="22"/>
          <w:szCs w:val="22"/>
        </w:rPr>
        <w:t>á</w:t>
      </w:r>
      <w:r w:rsidRPr="000339AC">
        <w:rPr>
          <w:rFonts w:cs="Calibri"/>
          <w:sz w:val="22"/>
          <w:szCs w:val="22"/>
        </w:rPr>
        <w:t xml:space="preserve"> vykonať analýzu rizík bezodkladne po doručení dokumentácie, ktorú si vyžiadala na doplnenie. Rovnako, pokiaľ počas kontroly zistí nové skutočnosti, ktoré môžu ovplyvniť výsledok analýzy rizík, vykoná túto analýzu opätovne.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zodpovedá za korektné vyplnenie kontrolného listu analýzy rizík a všetky údaje a odpovede v nej uvedené, musia byť v súlade so skutočnosťami uvedenými v predmetnom verejnom obstarávaní.</w:t>
      </w:r>
    </w:p>
    <w:p w14:paraId="3F7E8F38" w14:textId="77777777" w:rsidR="000339AC" w:rsidRDefault="00AE0175" w:rsidP="000339AC">
      <w:pPr>
        <w:pStyle w:val="Odsekzoznamu"/>
        <w:numPr>
          <w:ilvl w:val="0"/>
          <w:numId w:val="2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 xml:space="preserve">Kontrolný list analýzy rizík, kontrolné otázky, záznam z analýzy rizík a hodnotiaci kľúč vypracuje </w:t>
      </w:r>
      <w:r w:rsidR="009F71DD">
        <w:rPr>
          <w:rFonts w:cs="Calibri"/>
          <w:sz w:val="22"/>
          <w:szCs w:val="22"/>
        </w:rPr>
        <w:t>PPA</w:t>
      </w:r>
      <w:r w:rsidRPr="000339AC">
        <w:rPr>
          <w:rFonts w:cs="Calibri"/>
          <w:sz w:val="22"/>
          <w:szCs w:val="22"/>
        </w:rPr>
        <w:t xml:space="preserve">. </w:t>
      </w:r>
    </w:p>
    <w:p w14:paraId="7549385F" w14:textId="77777777" w:rsidR="00AE0175" w:rsidRPr="000339AC" w:rsidRDefault="00AE0175" w:rsidP="000339AC">
      <w:pPr>
        <w:pStyle w:val="Odsekzoznamu"/>
        <w:numPr>
          <w:ilvl w:val="0"/>
          <w:numId w:val="20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 xml:space="preserve">Výsledkom analýzy rizík je bodové hodnotenie, ktoré v zmysle hodnotiaceho kľúča zaradí kontrolované VO nasledovne: </w:t>
      </w:r>
    </w:p>
    <w:p w14:paraId="15049D55" w14:textId="77777777" w:rsidR="00AE0175" w:rsidRPr="00A54CB3" w:rsidRDefault="00AE0175" w:rsidP="000339AC">
      <w:pPr>
        <w:numPr>
          <w:ilvl w:val="0"/>
          <w:numId w:val="14"/>
        </w:numPr>
        <w:spacing w:after="0" w:line="240" w:lineRule="auto"/>
        <w:ind w:left="1134" w:hanging="425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VO nepredstavuje zvýšené riziko = P</w:t>
      </w:r>
      <w:r w:rsidR="009F71DD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 xml:space="preserve"> vypracuje skrátený kontrolný list na kontrolu VO;</w:t>
      </w:r>
    </w:p>
    <w:p w14:paraId="6D14936D" w14:textId="77777777" w:rsidR="00AE0175" w:rsidRPr="00A54CB3" w:rsidRDefault="00AE0175" w:rsidP="000339AC">
      <w:pPr>
        <w:numPr>
          <w:ilvl w:val="0"/>
          <w:numId w:val="14"/>
        </w:numPr>
        <w:spacing w:after="0" w:line="240" w:lineRule="auto"/>
        <w:ind w:left="1134" w:hanging="425"/>
        <w:rPr>
          <w:rFonts w:cs="Calibri"/>
          <w:sz w:val="22"/>
          <w:szCs w:val="22"/>
        </w:rPr>
      </w:pPr>
      <w:r w:rsidRPr="00A54CB3">
        <w:rPr>
          <w:rFonts w:cs="Calibri"/>
          <w:sz w:val="22"/>
          <w:szCs w:val="22"/>
        </w:rPr>
        <w:t>VO predstavuje zvýšené riziko = P</w:t>
      </w:r>
      <w:r w:rsidR="009F71DD">
        <w:rPr>
          <w:rFonts w:cs="Calibri"/>
          <w:sz w:val="22"/>
          <w:szCs w:val="22"/>
        </w:rPr>
        <w:t>PA</w:t>
      </w:r>
      <w:r w:rsidRPr="00A54CB3">
        <w:rPr>
          <w:rFonts w:cs="Calibri"/>
          <w:sz w:val="22"/>
          <w:szCs w:val="22"/>
        </w:rPr>
        <w:t xml:space="preserve"> je povinn</w:t>
      </w:r>
      <w:r w:rsidR="009F71DD">
        <w:rPr>
          <w:rFonts w:cs="Calibri"/>
          <w:sz w:val="22"/>
          <w:szCs w:val="22"/>
        </w:rPr>
        <w:t>á</w:t>
      </w:r>
      <w:r w:rsidRPr="00A54CB3">
        <w:rPr>
          <w:rFonts w:cs="Calibri"/>
          <w:sz w:val="22"/>
          <w:szCs w:val="22"/>
        </w:rPr>
        <w:t xml:space="preserve"> urobiť rozšírenú kontrolu VO, ktorú zaznamená do rozšíreného kontrolného listu.</w:t>
      </w:r>
    </w:p>
    <w:p w14:paraId="4968BCBA" w14:textId="77777777" w:rsidR="000339AC" w:rsidRDefault="00AE0175" w:rsidP="000339AC">
      <w:pPr>
        <w:pStyle w:val="Odsekzoznamu"/>
        <w:numPr>
          <w:ilvl w:val="0"/>
          <w:numId w:val="23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Samotný výsledok analýzy rizík nemá vplyv na závery kontroly VO, nakoľko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môže aj pri nerizikových VO objaviť závažné nedostatky a naopak. </w:t>
      </w:r>
    </w:p>
    <w:p w14:paraId="521CF66C" w14:textId="77777777" w:rsidR="00AE0175" w:rsidRPr="000339AC" w:rsidRDefault="00AE0175" w:rsidP="000339AC">
      <w:pPr>
        <w:pStyle w:val="Odsekzoznamu"/>
        <w:numPr>
          <w:ilvl w:val="0"/>
          <w:numId w:val="23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>V prípade zaslania podnetu na ÚVO v zmysle § 169 o</w:t>
      </w:r>
      <w:bookmarkStart w:id="1" w:name="_GoBack"/>
      <w:bookmarkEnd w:id="1"/>
      <w:r w:rsidRPr="000339AC">
        <w:rPr>
          <w:rFonts w:cs="Calibri"/>
          <w:sz w:val="22"/>
          <w:szCs w:val="22"/>
        </w:rPr>
        <w:t>ds. 3 písm. c) zákona o VO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po zaslaní žiadosti o vykonanie kontroly na ÚVO pokračuje ďalej vo svojej kontrole a zároveň čaká na výsledky kontroly. Po doručení výsledkov kontroly ÚVO spracuje závery svojej kontroly a závery kontroly ÚVO (do správy z kontroly a kontrolného zoznamu). Uvedeným nie je dotknutá povinnosť vykonania kontroly verejného obstarávania, ani zodpovednosť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 za výkon tejto kontroly v zmysle článku 7 nariadenia (EÚ) 1306/2013. </w:t>
      </w:r>
    </w:p>
    <w:p w14:paraId="3C2678AF" w14:textId="77777777" w:rsidR="00AE0175" w:rsidRPr="00A54CB3" w:rsidRDefault="00AE0175" w:rsidP="000339AC">
      <w:pPr>
        <w:pStyle w:val="Default"/>
        <w:ind w:left="709" w:hanging="709"/>
        <w:rPr>
          <w:b/>
          <w:bCs/>
          <w:color w:val="44546A" w:themeColor="text2"/>
          <w:sz w:val="22"/>
          <w:szCs w:val="22"/>
        </w:rPr>
      </w:pPr>
    </w:p>
    <w:p w14:paraId="2AF0972F" w14:textId="77777777" w:rsidR="00AE0175" w:rsidRPr="00651415" w:rsidRDefault="000339AC" w:rsidP="000339AC">
      <w:pPr>
        <w:pStyle w:val="Default"/>
        <w:ind w:left="567" w:hanging="567"/>
        <w:outlineLvl w:val="0"/>
        <w:rPr>
          <w:b/>
          <w:bCs/>
          <w:color w:val="000000" w:themeColor="text1"/>
          <w:sz w:val="22"/>
          <w:szCs w:val="22"/>
        </w:rPr>
      </w:pPr>
      <w:r w:rsidRPr="00651415">
        <w:rPr>
          <w:b/>
          <w:iCs/>
          <w:color w:val="000000" w:themeColor="text1"/>
          <w:sz w:val="22"/>
          <w:szCs w:val="22"/>
        </w:rPr>
        <w:t xml:space="preserve">1.4      </w:t>
      </w:r>
      <w:r w:rsidR="00AE0175" w:rsidRPr="00651415">
        <w:rPr>
          <w:b/>
          <w:iCs/>
          <w:color w:val="000000" w:themeColor="text1"/>
          <w:sz w:val="22"/>
          <w:szCs w:val="22"/>
        </w:rPr>
        <w:t xml:space="preserve">Rizikové indikátory </w:t>
      </w:r>
      <w:proofErr w:type="spellStart"/>
      <w:r w:rsidR="00AE0175" w:rsidRPr="00651415">
        <w:rPr>
          <w:b/>
          <w:bCs/>
          <w:color w:val="000000" w:themeColor="text1"/>
          <w:sz w:val="22"/>
          <w:szCs w:val="22"/>
        </w:rPr>
        <w:t>poukazujúce</w:t>
      </w:r>
      <w:proofErr w:type="spellEnd"/>
      <w:r w:rsidR="00AE0175" w:rsidRPr="00651415">
        <w:rPr>
          <w:b/>
          <w:bCs/>
          <w:color w:val="000000" w:themeColor="text1"/>
          <w:sz w:val="22"/>
          <w:szCs w:val="22"/>
        </w:rPr>
        <w:t xml:space="preserve"> na porušenie  hospodárskej  súťaže alebo porušenia zákona o verejnom obstarávaní </w:t>
      </w:r>
    </w:p>
    <w:p w14:paraId="6AE4B618" w14:textId="77777777" w:rsidR="000339AC" w:rsidRDefault="00AE0175" w:rsidP="000339AC">
      <w:pPr>
        <w:pStyle w:val="Odsekzoznamu"/>
        <w:numPr>
          <w:ilvl w:val="0"/>
          <w:numId w:val="24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 xml:space="preserve">Rizikové indikátory, ktoré sú ďalej uvedené, neznamenajú sami o sebe dôkaz o porušení hospodárskej súťaže, alebo porušenia ZVO. Sú však situáciami, ktoré zvyšujú pravdepodobnosť, že v rámci daného zadávania zákazky mohlo dôjsť k protiprávnemu konaniu. Pokiaľ určitý rizikový indikátor sám o sebe znamená porušenie ZVO, nepotvrdenie skutočnosti o porušení hospodárskej súťaže, nemá vplyv na toto konštatovanie o porušení ZVO. Tento zoznam nie je vyčerpávajúcim súhrnom všetkých rizikových situácií. </w:t>
      </w:r>
      <w:r w:rsidR="009F71DD">
        <w:rPr>
          <w:rFonts w:cs="Calibri"/>
          <w:sz w:val="22"/>
          <w:szCs w:val="22"/>
        </w:rPr>
        <w:t>MAS, resp. PPA</w:t>
      </w:r>
      <w:r w:rsidRPr="000339AC">
        <w:rPr>
          <w:rFonts w:cs="Calibri"/>
          <w:sz w:val="22"/>
          <w:szCs w:val="22"/>
        </w:rPr>
        <w:t xml:space="preserve"> vykonávajúci kontrolu VO môže identifikovať aj iné skutočnosti, ktoré sú indikátorom možného rizika, pričom kvalifikované vyhodnotenie individuálnej situácie je vždy v kompetencii P</w:t>
      </w:r>
      <w:r w:rsidR="009F71DD">
        <w:rPr>
          <w:rFonts w:cs="Calibri"/>
          <w:sz w:val="22"/>
          <w:szCs w:val="22"/>
        </w:rPr>
        <w:t>PA</w:t>
      </w:r>
      <w:r w:rsidRPr="000339AC">
        <w:rPr>
          <w:rFonts w:cs="Calibri"/>
          <w:sz w:val="22"/>
          <w:szCs w:val="22"/>
        </w:rPr>
        <w:t xml:space="preserve">. V rámci kontrolnej činnosti je </w:t>
      </w:r>
      <w:r w:rsidR="009F71DD">
        <w:rPr>
          <w:rFonts w:cs="Calibri"/>
          <w:sz w:val="22"/>
          <w:szCs w:val="22"/>
        </w:rPr>
        <w:t>MAS, resp. PPA</w:t>
      </w:r>
      <w:r w:rsidRPr="000339AC">
        <w:rPr>
          <w:rFonts w:cs="Calibri"/>
          <w:sz w:val="22"/>
          <w:szCs w:val="22"/>
        </w:rPr>
        <w:t xml:space="preserve"> vykonávajúci kontrolu VO povinný sa oboznámiť s rizikovými indikátormi a túto kontrolu vykonávať s ohľadom na dostatočné využitie tejto vedomosti. Z tohto pohľadu nie je účelom oboznámenia sa s rizikovými indikátormi vykonanie podrobnej kontroly a analýzy každého z nich, ale ich správne identifikovanie, pokiaľ dokumentácia alebo iné informačné zdroje indikujú prítomnosť takejto skutočnosti a následné oprávnené vyhodnotenie tejto skutočnosti. </w:t>
      </w:r>
    </w:p>
    <w:p w14:paraId="632AB69F" w14:textId="77777777" w:rsidR="00AE0175" w:rsidRPr="000339AC" w:rsidRDefault="00AE0175" w:rsidP="000339AC">
      <w:pPr>
        <w:pStyle w:val="Odsekzoznamu"/>
        <w:numPr>
          <w:ilvl w:val="0"/>
          <w:numId w:val="24"/>
        </w:numPr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0339AC">
        <w:rPr>
          <w:rFonts w:cs="Calibri"/>
          <w:sz w:val="22"/>
          <w:szCs w:val="22"/>
        </w:rPr>
        <w:t xml:space="preserve">Rizikové indikátory sú nasledovné: </w:t>
      </w:r>
    </w:p>
    <w:p w14:paraId="78ACCDFF" w14:textId="77777777" w:rsidR="00AE0175" w:rsidRPr="00A54CB3" w:rsidRDefault="00AE0175" w:rsidP="000339AC">
      <w:pPr>
        <w:spacing w:after="0" w:line="240" w:lineRule="auto"/>
        <w:ind w:left="567"/>
        <w:rPr>
          <w:rFonts w:cs="Calibri"/>
          <w:sz w:val="22"/>
          <w:szCs w:val="22"/>
          <w:highlight w:val="yellow"/>
        </w:rPr>
      </w:pPr>
    </w:p>
    <w:tbl>
      <w:tblPr>
        <w:tblStyle w:val="Mriekatabuky"/>
        <w:tblW w:w="8696" w:type="dxa"/>
        <w:tblInd w:w="562" w:type="dxa"/>
        <w:tblLook w:val="04A0" w:firstRow="1" w:lastRow="0" w:firstColumn="1" w:lastColumn="0" w:noHBand="0" w:noVBand="1"/>
      </w:tblPr>
      <w:tblGrid>
        <w:gridCol w:w="832"/>
        <w:gridCol w:w="3392"/>
        <w:gridCol w:w="4472"/>
      </w:tblGrid>
      <w:tr w:rsidR="00AE0175" w:rsidRPr="00A54CB3" w14:paraId="0C393D04" w14:textId="77777777" w:rsidTr="003627B3">
        <w:tc>
          <w:tcPr>
            <w:tcW w:w="832" w:type="dxa"/>
            <w:shd w:val="clear" w:color="auto" w:fill="E2EFD9" w:themeFill="accent6" w:themeFillTint="33"/>
            <w:vAlign w:val="center"/>
          </w:tcPr>
          <w:p w14:paraId="1867A07B" w14:textId="77777777" w:rsidR="00AE0175" w:rsidRPr="00FD55D6" w:rsidRDefault="00AE0175" w:rsidP="003627B3">
            <w:pPr>
              <w:keepNext/>
              <w:keepLines/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FD55D6">
              <w:rPr>
                <w:rFonts w:cs="Calibri"/>
                <w:b/>
                <w:bCs/>
                <w:sz w:val="18"/>
                <w:szCs w:val="18"/>
              </w:rPr>
              <w:t>P.č</w:t>
            </w:r>
            <w:proofErr w:type="spellEnd"/>
            <w:r w:rsidRPr="00FD55D6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E2EFD9" w:themeFill="accent6" w:themeFillTint="33"/>
            <w:vAlign w:val="center"/>
          </w:tcPr>
          <w:p w14:paraId="5A845770" w14:textId="77777777" w:rsidR="00AE0175" w:rsidRPr="00FD55D6" w:rsidRDefault="00AE0175" w:rsidP="003627B3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D55D6">
              <w:rPr>
                <w:rFonts w:cs="Calibri"/>
                <w:b/>
                <w:bCs/>
                <w:sz w:val="18"/>
                <w:szCs w:val="18"/>
              </w:rPr>
              <w:t>Názov rizikového indikátora</w:t>
            </w:r>
          </w:p>
        </w:tc>
        <w:tc>
          <w:tcPr>
            <w:tcW w:w="4472" w:type="dxa"/>
            <w:shd w:val="clear" w:color="auto" w:fill="E2EFD9" w:themeFill="accent6" w:themeFillTint="33"/>
            <w:vAlign w:val="center"/>
          </w:tcPr>
          <w:p w14:paraId="221B4BD7" w14:textId="77777777" w:rsidR="00AE0175" w:rsidRPr="00FD55D6" w:rsidRDefault="00AE0175" w:rsidP="003627B3">
            <w:pPr>
              <w:keepNext/>
              <w:keepLines/>
              <w:spacing w:after="0" w:line="240" w:lineRule="auto"/>
              <w:ind w:left="1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D55D6">
              <w:rPr>
                <w:rFonts w:cs="Calibri"/>
                <w:b/>
                <w:bCs/>
                <w:sz w:val="18"/>
                <w:szCs w:val="18"/>
              </w:rPr>
              <w:t>Popis rizikového indikátora</w:t>
            </w:r>
          </w:p>
        </w:tc>
      </w:tr>
      <w:tr w:rsidR="00AE0175" w:rsidRPr="00A54CB3" w14:paraId="02181802" w14:textId="77777777" w:rsidTr="000339AC">
        <w:tc>
          <w:tcPr>
            <w:tcW w:w="832" w:type="dxa"/>
            <w:vAlign w:val="center"/>
          </w:tcPr>
          <w:p w14:paraId="0AE687FD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1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  <w:p w14:paraId="48FBBDF7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14:paraId="7CB38A63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Rotácia úspešných uchádzačov podľa regiónu, typu služby, tovaru alebo práce </w:t>
            </w:r>
          </w:p>
        </w:tc>
        <w:tc>
          <w:tcPr>
            <w:tcW w:w="4472" w:type="dxa"/>
            <w:vAlign w:val="center"/>
          </w:tcPr>
          <w:p w14:paraId="0ED0FA1E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zo skupiny uchádzačov podávajúcich ponuky, ktorej zloženie je pri viacerých súťažiach takmer rovnaké, je ako úspešný vyhodnotený vždy iný uchádzač, pričom úspešnosť je možné odvodiť od záujmu realizovať zákazku v určitom regióne, alebo v rámci určitého typu služby, tovaru  alebo práce a pod. </w:t>
            </w:r>
          </w:p>
        </w:tc>
      </w:tr>
      <w:tr w:rsidR="00AE0175" w:rsidRPr="00A54CB3" w14:paraId="07C1640D" w14:textId="77777777" w:rsidTr="000339AC">
        <w:tc>
          <w:tcPr>
            <w:tcW w:w="832" w:type="dxa"/>
            <w:vAlign w:val="center"/>
          </w:tcPr>
          <w:p w14:paraId="715DC6A9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2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359B3B9B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Neúspešný uchádzač je </w:t>
            </w:r>
            <w:proofErr w:type="spellStart"/>
            <w:r w:rsidRPr="00FD55D6">
              <w:rPr>
                <w:rFonts w:cs="Calibri"/>
                <w:sz w:val="18"/>
                <w:szCs w:val="18"/>
              </w:rPr>
              <w:t>zazmluvnený</w:t>
            </w:r>
            <w:proofErr w:type="spellEnd"/>
            <w:r w:rsidRPr="00FD55D6">
              <w:rPr>
                <w:rFonts w:cs="Calibri"/>
                <w:sz w:val="18"/>
                <w:szCs w:val="18"/>
              </w:rPr>
              <w:t xml:space="preserve"> úspešným uchádzačom ako subdodávateľ </w:t>
            </w:r>
          </w:p>
        </w:tc>
        <w:tc>
          <w:tcPr>
            <w:tcW w:w="4472" w:type="dxa"/>
            <w:vAlign w:val="center"/>
          </w:tcPr>
          <w:p w14:paraId="1F4A7D9B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pri kontrole PPA zistí skutočnosť, že s uchádzačom, ktorý bol v súťaži vyhodnotený ako neúspešný, uzavrel úspešný uchádzač v rámci plnenia predmetnej zákazky dodávateľskú zmluvu</w:t>
            </w:r>
          </w:p>
        </w:tc>
      </w:tr>
      <w:tr w:rsidR="00AE0175" w:rsidRPr="00A54CB3" w14:paraId="1B672B87" w14:textId="77777777" w:rsidTr="000339AC">
        <w:tc>
          <w:tcPr>
            <w:tcW w:w="832" w:type="dxa"/>
            <w:vAlign w:val="center"/>
          </w:tcPr>
          <w:p w14:paraId="2127F7CE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3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155A4C57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Uchádzači využívajú v preukazovaní podmienok účasti prísľuby tých istých tretích osôb, resp. ako subdodávatelia sú identifikované tie isté subjekty</w:t>
            </w:r>
          </w:p>
        </w:tc>
        <w:tc>
          <w:tcPr>
            <w:tcW w:w="4472" w:type="dxa"/>
            <w:vAlign w:val="center"/>
          </w:tcPr>
          <w:p w14:paraId="442F696A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pre preukazovanie splnenia podmienok účasti podľa § 27 alebo § 28 využívajú uchádzači kapacity iných osôb („tretích strán“) pričom tieto iné osoby sú rovnaké pri viacerých uchádzačov. </w:t>
            </w:r>
          </w:p>
          <w:p w14:paraId="69EBF01B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viacerí uchádzači majú v rámci svojich ponúk identifikovaných rovnakých subdodávateľov</w:t>
            </w:r>
          </w:p>
        </w:tc>
      </w:tr>
      <w:tr w:rsidR="00AE0175" w:rsidRPr="00A54CB3" w14:paraId="20686CF8" w14:textId="77777777" w:rsidTr="000339AC">
        <w:tc>
          <w:tcPr>
            <w:tcW w:w="832" w:type="dxa"/>
            <w:vAlign w:val="center"/>
          </w:tcPr>
          <w:p w14:paraId="5FFDAD36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4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21EAE249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Medzi uchádzačmi je majetkové alebo osobné prepojenie </w:t>
            </w:r>
          </w:p>
        </w:tc>
        <w:tc>
          <w:tcPr>
            <w:tcW w:w="4472" w:type="dxa"/>
            <w:vAlign w:val="center"/>
          </w:tcPr>
          <w:p w14:paraId="4AF7D30D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medzi úspešným uchádzačom a iným uchádzačom je majetkové alebo osobné prepojenie (napr. štatutár úspešného uchádzača a štatutár neúspešného uchádzača sú spoločne štatutármi aj v inom subjekte (ktorý mohol alebo aj nemusel predložiť ponuku)</w:t>
            </w:r>
          </w:p>
        </w:tc>
      </w:tr>
      <w:tr w:rsidR="00AE0175" w:rsidRPr="00A54CB3" w14:paraId="0ECF8ECB" w14:textId="77777777" w:rsidTr="000339AC">
        <w:tc>
          <w:tcPr>
            <w:tcW w:w="832" w:type="dxa"/>
            <w:vAlign w:val="center"/>
          </w:tcPr>
          <w:p w14:paraId="6129385D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5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05643290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Niektorí uchádzači predkladajú opätovne svoju ponuku, avšak nikdy nie sú úspešní</w:t>
            </w:r>
          </w:p>
        </w:tc>
        <w:tc>
          <w:tcPr>
            <w:tcW w:w="4472" w:type="dxa"/>
            <w:vAlign w:val="center"/>
          </w:tcPr>
          <w:p w14:paraId="6FF46B91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vo viacerých súťažiach je možné identifikovať rovnakého uchádzača, ktorý sa súťaží vždy zúčastňuje, ale nikdy nie je úspešný</w:t>
            </w:r>
          </w:p>
        </w:tc>
      </w:tr>
      <w:tr w:rsidR="00AE0175" w:rsidRPr="00A54CB3" w14:paraId="31AA43FB" w14:textId="77777777" w:rsidTr="000339AC">
        <w:tc>
          <w:tcPr>
            <w:tcW w:w="832" w:type="dxa"/>
            <w:vAlign w:val="center"/>
          </w:tcPr>
          <w:p w14:paraId="4BA5B1A0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6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2E9C2397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Dvaja alebo viacerí uchádzači predkladajú spoločnú ponuku (ako skupina dodávateľov), avšak aspoň jeden z nich je dostatočne kvalifikovaný aby mohol podať ponuku sám,</w:t>
            </w:r>
          </w:p>
        </w:tc>
        <w:tc>
          <w:tcPr>
            <w:tcW w:w="4472" w:type="dxa"/>
            <w:vAlign w:val="center"/>
          </w:tcPr>
          <w:p w14:paraId="370E10E0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v súťaži je identifikovaný dodávateľ, o ktorom je všeobecne známe, že je kvalifikovaný podať ponuku aj bez vytvorenia skupiny dodávateľov, napriek tomu sa súťaže zúčastňuje v rámci spoločnej ponuky dvoch alebo viacerých dodávateľov. </w:t>
            </w:r>
          </w:p>
        </w:tc>
      </w:tr>
      <w:tr w:rsidR="00AE0175" w:rsidRPr="00A54CB3" w14:paraId="5C09F583" w14:textId="77777777" w:rsidTr="000339AC">
        <w:tc>
          <w:tcPr>
            <w:tcW w:w="832" w:type="dxa"/>
            <w:vAlign w:val="center"/>
          </w:tcPr>
          <w:p w14:paraId="6BFECF85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7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296C0B44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Predloženie tieňovej („krycej“) ponuky</w:t>
            </w:r>
          </w:p>
        </w:tc>
        <w:tc>
          <w:tcPr>
            <w:tcW w:w="4472" w:type="dxa"/>
            <w:vAlign w:val="center"/>
          </w:tcPr>
          <w:p w14:paraId="30F9038D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ponuky predložili aj uchádzači, ktorí nie sú zjavne kvalifikovaní resp. ich ponuka nespĺňa základné požiadavky určené verejným obstarávateľom</w:t>
            </w:r>
          </w:p>
        </w:tc>
      </w:tr>
      <w:tr w:rsidR="00AE0175" w:rsidRPr="00A54CB3" w14:paraId="3E70F62C" w14:textId="77777777" w:rsidTr="000339AC">
        <w:tc>
          <w:tcPr>
            <w:tcW w:w="832" w:type="dxa"/>
            <w:vAlign w:val="center"/>
          </w:tcPr>
          <w:p w14:paraId="051C92C3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8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3436F318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Nízky počet ponúk/žiadostí o účasť</w:t>
            </w:r>
          </w:p>
        </w:tc>
        <w:tc>
          <w:tcPr>
            <w:tcW w:w="4472" w:type="dxa"/>
            <w:vAlign w:val="center"/>
          </w:tcPr>
          <w:p w14:paraId="3B18B8A9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v rámci súťaže bol predložený nízky počet ponúk alebo žiadostí o účasť (1 až 2) </w:t>
            </w:r>
          </w:p>
        </w:tc>
      </w:tr>
      <w:tr w:rsidR="00AE0175" w:rsidRPr="00A54CB3" w14:paraId="047541E0" w14:textId="77777777" w:rsidTr="000339AC">
        <w:tc>
          <w:tcPr>
            <w:tcW w:w="832" w:type="dxa"/>
            <w:vAlign w:val="center"/>
          </w:tcPr>
          <w:p w14:paraId="0EA0DA77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9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4BE9D0F6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Podozrivé schémy v stanovovaní cien </w:t>
            </w:r>
          </w:p>
        </w:tc>
        <w:tc>
          <w:tcPr>
            <w:tcW w:w="4472" w:type="dxa"/>
            <w:vAlign w:val="center"/>
          </w:tcPr>
          <w:p w14:paraId="64023D04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ceny predložené uchádzačmi sa oproti úspešnej ponuke zvyšujú o pravidelný % prírastok ,</w:t>
            </w:r>
          </w:p>
          <w:p w14:paraId="44EB9F84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na stanovenie ceny sú pri viacerých uchádzačoch použité rovnaké kalkulácie,</w:t>
            </w:r>
          </w:p>
          <w:p w14:paraId="1E53555C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lastRenderedPageBreak/>
              <w:t>hodnoty všetkých predložených ponúk sú v porovnaní s predpokladanou hodnotou zákazky buď nad touto hodnotou, alebo tesne pod ňou,</w:t>
            </w:r>
          </w:p>
          <w:p w14:paraId="7DFE6C0E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výsledná suma víťaznej ponuky je neprimerane vysoká vzhľadom na sumy, ktoré vie PPA porovnať z verejne dostupných zdrojov alebo z vlastných databáz a zdrojov informácií o hodnotách podobných prác, služieb a tovarov,</w:t>
            </w:r>
          </w:p>
          <w:p w14:paraId="248459C9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v súťaži je možné pozorovať náhly pokles ponukových cien pri vstupe uchádzača do súťaže, ktorý v predošlých podobných súťažiach nepredkladal ponuku.</w:t>
            </w:r>
          </w:p>
        </w:tc>
      </w:tr>
      <w:tr w:rsidR="00AE0175" w:rsidRPr="00A54CB3" w14:paraId="2577A90C" w14:textId="77777777" w:rsidTr="000339AC">
        <w:tc>
          <w:tcPr>
            <w:tcW w:w="832" w:type="dxa"/>
            <w:vAlign w:val="center"/>
          </w:tcPr>
          <w:p w14:paraId="216CD74A" w14:textId="77777777" w:rsidR="00AE0175" w:rsidRPr="00FD55D6" w:rsidRDefault="00AE0175" w:rsidP="000339AC">
            <w:pPr>
              <w:pStyle w:val="Bezriadkovania"/>
              <w:jc w:val="center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lastRenderedPageBreak/>
              <w:t>10</w:t>
            </w:r>
            <w:r w:rsidR="000339AC" w:rsidRPr="00FD55D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678BEC1A" w14:textId="77777777" w:rsidR="00AE0175" w:rsidRPr="00FD55D6" w:rsidRDefault="00AE0175" w:rsidP="000339AC">
            <w:pPr>
              <w:pStyle w:val="Bezriadkovania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Podozrivé indície v dokumentácii z verejného obstarávania</w:t>
            </w:r>
          </w:p>
        </w:tc>
        <w:tc>
          <w:tcPr>
            <w:tcW w:w="4472" w:type="dxa"/>
            <w:vAlign w:val="center"/>
          </w:tcPr>
          <w:p w14:paraId="7DED8073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dokumenty obsahujú rovnaký rukopis, druh písma, rovnakú formu alebo boli použité rovnaké kancelárske potreby (napr. ponuky sú podpísané rovnakým atramentom, sú na rovnakom kancelárskom papieri), </w:t>
            </w:r>
          </w:p>
          <w:p w14:paraId="1B65C845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rovnaké chyby v jednotlivých dokumentoch, napr. pravopisné chyby, tlačiarenské chyby (rovnaké šmuhy od tlačiarne), matematické chyby (rovnaké zlé výpočty),</w:t>
            </w:r>
          </w:p>
          <w:p w14:paraId="2AC0C8B9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zhodné nepravidelnosti, napr. zoradenie dokumentov do ponuky s prehodenými stranami, chybné číslovanie strán,</w:t>
            </w:r>
          </w:p>
          <w:p w14:paraId="40E129E3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dokumenty v elektronickej forme ukazujú, že ich vytvorila alebo upravovala jedna osoba,</w:t>
            </w:r>
          </w:p>
          <w:p w14:paraId="1910CAA6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 xml:space="preserve">obálky od rôznych uchádzačov majú podobné poštové pečiatky, sú zasielané z jednej pošty, majú rovnaké </w:t>
            </w:r>
            <w:proofErr w:type="spellStart"/>
            <w:r w:rsidRPr="00FD55D6">
              <w:rPr>
                <w:rFonts w:cs="Calibri"/>
                <w:sz w:val="18"/>
                <w:szCs w:val="18"/>
              </w:rPr>
              <w:t>frankovacie</w:t>
            </w:r>
            <w:proofErr w:type="spellEnd"/>
            <w:r w:rsidRPr="00FD55D6">
              <w:rPr>
                <w:rFonts w:cs="Calibri"/>
                <w:sz w:val="18"/>
                <w:szCs w:val="18"/>
              </w:rPr>
              <w:t xml:space="preserve"> značky a známky, na podacích lístkoch je rovnaký rukopis, čísla kolkov v rôznych ponukách na seba nadväzujú, </w:t>
            </w:r>
          </w:p>
          <w:p w14:paraId="343B0C56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niekoľko ponúk (alebo akýchkoľvek iných dokumentov, napr. žiadosti o vysvetlenie súťažných podkladov) je posielaných z rovnakej emailovej adresy, z rovnakého faxového čísla alebo naraz prostredníctvom jedného kuriéra,</w:t>
            </w:r>
          </w:p>
          <w:p w14:paraId="58550466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dokumenty o cenových ponukách obsahujú veľký počet opráv na poslednú chvíľu ako gumovanie, škrtanie alebo iné fyzické zmeny,</w:t>
            </w:r>
          </w:p>
          <w:p w14:paraId="5096AFFE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ponuky jedného uchádzača obsahujú jednoznačný odkaz na ponuky ostatných konkurentov, v hlavičke sa vyskytuje faxové číslo iného uchádzača alebo využívajú hlavičkový papier konkurenta,</w:t>
            </w:r>
          </w:p>
          <w:p w14:paraId="3FEA958A" w14:textId="77777777" w:rsidR="00AE0175" w:rsidRPr="00FD55D6" w:rsidRDefault="00AE0175" w:rsidP="000339AC">
            <w:pPr>
              <w:pStyle w:val="Bezriadkovania"/>
              <w:numPr>
                <w:ilvl w:val="0"/>
                <w:numId w:val="16"/>
              </w:numPr>
              <w:ind w:left="331"/>
              <w:rPr>
                <w:rFonts w:cs="Calibri"/>
                <w:sz w:val="18"/>
                <w:szCs w:val="18"/>
              </w:rPr>
            </w:pPr>
            <w:r w:rsidRPr="00FD55D6">
              <w:rPr>
                <w:rFonts w:cs="Calibri"/>
                <w:sz w:val="18"/>
                <w:szCs w:val="18"/>
              </w:rPr>
              <w:t>ponuky viacerých uchádzačov obsahujú podstatný počet rovnakých odhadov nákladov na jednotlivé položky.</w:t>
            </w:r>
          </w:p>
        </w:tc>
      </w:tr>
    </w:tbl>
    <w:p w14:paraId="7A9D09FF" w14:textId="77777777" w:rsidR="00C77E4E" w:rsidRPr="00A54CB3" w:rsidRDefault="00C77E4E" w:rsidP="000339AC">
      <w:pPr>
        <w:spacing w:after="0" w:line="240" w:lineRule="auto"/>
        <w:rPr>
          <w:rFonts w:cs="Calibri"/>
          <w:sz w:val="22"/>
          <w:szCs w:val="22"/>
        </w:rPr>
      </w:pPr>
    </w:p>
    <w:sectPr w:rsidR="00C77E4E" w:rsidRPr="00A54C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AD41" w14:textId="77777777" w:rsidR="000339AC" w:rsidRDefault="000339AC" w:rsidP="000339AC">
      <w:pPr>
        <w:spacing w:after="0" w:line="240" w:lineRule="auto"/>
      </w:pPr>
      <w:r>
        <w:separator/>
      </w:r>
    </w:p>
  </w:endnote>
  <w:endnote w:type="continuationSeparator" w:id="0">
    <w:p w14:paraId="56E2E3D0" w14:textId="77777777" w:rsidR="000339AC" w:rsidRDefault="000339AC" w:rsidP="0003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182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820DDE" w14:textId="475BABAB" w:rsidR="003627B3" w:rsidRPr="003627B3" w:rsidRDefault="003627B3">
        <w:pPr>
          <w:pStyle w:val="Pta"/>
          <w:jc w:val="center"/>
          <w:rPr>
            <w:sz w:val="22"/>
            <w:szCs w:val="22"/>
          </w:rPr>
        </w:pPr>
        <w:r w:rsidRPr="003627B3">
          <w:rPr>
            <w:sz w:val="22"/>
            <w:szCs w:val="22"/>
          </w:rPr>
          <w:fldChar w:fldCharType="begin"/>
        </w:r>
        <w:r w:rsidRPr="003627B3">
          <w:rPr>
            <w:sz w:val="22"/>
            <w:szCs w:val="22"/>
          </w:rPr>
          <w:instrText>PAGE   \* MERGEFORMAT</w:instrText>
        </w:r>
        <w:r w:rsidRPr="003627B3">
          <w:rPr>
            <w:sz w:val="22"/>
            <w:szCs w:val="22"/>
          </w:rPr>
          <w:fldChar w:fldCharType="separate"/>
        </w:r>
        <w:r w:rsidR="00FD55D6">
          <w:rPr>
            <w:noProof/>
            <w:sz w:val="22"/>
            <w:szCs w:val="22"/>
          </w:rPr>
          <w:t>3</w:t>
        </w:r>
        <w:r w:rsidRPr="003627B3">
          <w:rPr>
            <w:sz w:val="22"/>
            <w:szCs w:val="22"/>
          </w:rPr>
          <w:fldChar w:fldCharType="end"/>
        </w:r>
      </w:p>
    </w:sdtContent>
  </w:sdt>
  <w:p w14:paraId="2D5AC967" w14:textId="77777777" w:rsidR="00A96B3E" w:rsidRDefault="00A96B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BA04" w14:textId="77777777" w:rsidR="000339AC" w:rsidRDefault="000339AC" w:rsidP="000339AC">
      <w:pPr>
        <w:spacing w:after="0" w:line="240" w:lineRule="auto"/>
      </w:pPr>
      <w:r>
        <w:separator/>
      </w:r>
    </w:p>
  </w:footnote>
  <w:footnote w:type="continuationSeparator" w:id="0">
    <w:p w14:paraId="48AA606F" w14:textId="77777777" w:rsidR="000339AC" w:rsidRDefault="000339AC" w:rsidP="0003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16FB" w14:textId="49D886DD" w:rsidR="00BB3304" w:rsidRPr="00BB3304" w:rsidRDefault="00BB3304">
    <w:pPr>
      <w:pStyle w:val="Hlavika"/>
      <w:rPr>
        <w:sz w:val="18"/>
        <w:szCs w:val="18"/>
      </w:rPr>
    </w:pPr>
    <w:r w:rsidRPr="00BB3304">
      <w:rPr>
        <w:sz w:val="18"/>
        <w:szCs w:val="18"/>
      </w:rPr>
      <w:t>Príloha č. 14A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9CB"/>
    <w:multiLevelType w:val="hybridMultilevel"/>
    <w:tmpl w:val="5F744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60038"/>
    <w:multiLevelType w:val="hybridMultilevel"/>
    <w:tmpl w:val="01F43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0EC"/>
    <w:multiLevelType w:val="hybridMultilevel"/>
    <w:tmpl w:val="5D2CC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499E"/>
    <w:multiLevelType w:val="hybridMultilevel"/>
    <w:tmpl w:val="C8840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96B"/>
    <w:multiLevelType w:val="hybridMultilevel"/>
    <w:tmpl w:val="ED94F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093"/>
    <w:multiLevelType w:val="hybridMultilevel"/>
    <w:tmpl w:val="0ED68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545780"/>
    <w:multiLevelType w:val="hybridMultilevel"/>
    <w:tmpl w:val="3C6674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226"/>
    <w:multiLevelType w:val="hybridMultilevel"/>
    <w:tmpl w:val="405C6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02FB2"/>
    <w:multiLevelType w:val="hybridMultilevel"/>
    <w:tmpl w:val="C428D43A"/>
    <w:lvl w:ilvl="0" w:tplc="4B6CC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353936"/>
    <w:multiLevelType w:val="hybridMultilevel"/>
    <w:tmpl w:val="28048BAC"/>
    <w:lvl w:ilvl="0" w:tplc="B3C40C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124F"/>
    <w:multiLevelType w:val="hybridMultilevel"/>
    <w:tmpl w:val="0ED68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82276"/>
    <w:multiLevelType w:val="hybridMultilevel"/>
    <w:tmpl w:val="93468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52E6"/>
    <w:multiLevelType w:val="hybridMultilevel"/>
    <w:tmpl w:val="B4BE84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484EB3"/>
    <w:multiLevelType w:val="hybridMultilevel"/>
    <w:tmpl w:val="FE025356"/>
    <w:lvl w:ilvl="0" w:tplc="8DFEE4B0">
      <w:start w:val="1"/>
      <w:numFmt w:val="decimal"/>
      <w:lvlText w:val="%1)"/>
      <w:lvlJc w:val="left"/>
      <w:pPr>
        <w:ind w:left="360" w:hanging="7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C75117"/>
    <w:multiLevelType w:val="hybridMultilevel"/>
    <w:tmpl w:val="079C28E4"/>
    <w:lvl w:ilvl="0" w:tplc="19BEE86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00F4"/>
    <w:multiLevelType w:val="hybridMultilevel"/>
    <w:tmpl w:val="7396D19C"/>
    <w:lvl w:ilvl="0" w:tplc="2D9C423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0570"/>
    <w:multiLevelType w:val="hybridMultilevel"/>
    <w:tmpl w:val="FE025356"/>
    <w:lvl w:ilvl="0" w:tplc="8DFEE4B0">
      <w:start w:val="1"/>
      <w:numFmt w:val="decimal"/>
      <w:lvlText w:val="%1)"/>
      <w:lvlJc w:val="left"/>
      <w:pPr>
        <w:ind w:left="360" w:hanging="7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353E8E"/>
    <w:multiLevelType w:val="hybridMultilevel"/>
    <w:tmpl w:val="20ACF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B6AF9"/>
    <w:multiLevelType w:val="hybridMultilevel"/>
    <w:tmpl w:val="9936433C"/>
    <w:lvl w:ilvl="0" w:tplc="AAFAE75C">
      <w:start w:val="1"/>
      <w:numFmt w:val="decimal"/>
      <w:lvlText w:val="%1)"/>
      <w:lvlJc w:val="left"/>
      <w:pPr>
        <w:ind w:left="360" w:hanging="72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C22D80"/>
    <w:multiLevelType w:val="hybridMultilevel"/>
    <w:tmpl w:val="6B9CA0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F96E0C"/>
    <w:multiLevelType w:val="hybridMultilevel"/>
    <w:tmpl w:val="169CBB14"/>
    <w:lvl w:ilvl="0" w:tplc="56266C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0F14"/>
    <w:multiLevelType w:val="hybridMultilevel"/>
    <w:tmpl w:val="99526F18"/>
    <w:lvl w:ilvl="0" w:tplc="8DFEE4B0">
      <w:start w:val="1"/>
      <w:numFmt w:val="decimal"/>
      <w:lvlText w:val="%1)"/>
      <w:lvlJc w:val="left"/>
      <w:pPr>
        <w:ind w:left="360" w:hanging="7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506B7A"/>
    <w:multiLevelType w:val="hybridMultilevel"/>
    <w:tmpl w:val="DEAA9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63DF2"/>
    <w:multiLevelType w:val="hybridMultilevel"/>
    <w:tmpl w:val="FE025356"/>
    <w:lvl w:ilvl="0" w:tplc="8DFEE4B0">
      <w:start w:val="1"/>
      <w:numFmt w:val="decimal"/>
      <w:lvlText w:val="%1)"/>
      <w:lvlJc w:val="left"/>
      <w:pPr>
        <w:ind w:left="360" w:hanging="7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E965EB"/>
    <w:multiLevelType w:val="hybridMultilevel"/>
    <w:tmpl w:val="75AE0712"/>
    <w:lvl w:ilvl="0" w:tplc="88F22744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D0EA9"/>
    <w:multiLevelType w:val="hybridMultilevel"/>
    <w:tmpl w:val="183AC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3AFE"/>
    <w:multiLevelType w:val="hybridMultilevel"/>
    <w:tmpl w:val="C0201ED2"/>
    <w:lvl w:ilvl="0" w:tplc="5CE6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172F"/>
    <w:multiLevelType w:val="hybridMultilevel"/>
    <w:tmpl w:val="364EB38E"/>
    <w:lvl w:ilvl="0" w:tplc="041B0017">
      <w:start w:val="1"/>
      <w:numFmt w:val="lowerLetter"/>
      <w:lvlText w:val="%1)"/>
      <w:lvlJc w:val="left"/>
      <w:pPr>
        <w:ind w:left="489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8D5DEB"/>
    <w:multiLevelType w:val="hybridMultilevel"/>
    <w:tmpl w:val="71426950"/>
    <w:lvl w:ilvl="0" w:tplc="6B0ABE1C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33AE2"/>
    <w:multiLevelType w:val="hybridMultilevel"/>
    <w:tmpl w:val="51D01B0E"/>
    <w:lvl w:ilvl="0" w:tplc="7EF27B6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16"/>
  </w:num>
  <w:num w:numId="5">
    <w:abstractNumId w:val="18"/>
  </w:num>
  <w:num w:numId="6">
    <w:abstractNumId w:val="5"/>
  </w:num>
  <w:num w:numId="7">
    <w:abstractNumId w:val="0"/>
  </w:num>
  <w:num w:numId="8">
    <w:abstractNumId w:val="7"/>
  </w:num>
  <w:num w:numId="9">
    <w:abstractNumId w:val="19"/>
  </w:num>
  <w:num w:numId="10">
    <w:abstractNumId w:val="21"/>
  </w:num>
  <w:num w:numId="11">
    <w:abstractNumId w:val="10"/>
  </w:num>
  <w:num w:numId="12">
    <w:abstractNumId w:val="13"/>
  </w:num>
  <w:num w:numId="13">
    <w:abstractNumId w:val="27"/>
  </w:num>
  <w:num w:numId="14">
    <w:abstractNumId w:val="8"/>
  </w:num>
  <w:num w:numId="15">
    <w:abstractNumId w:val="23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15"/>
  </w:num>
  <w:num w:numId="21">
    <w:abstractNumId w:val="1"/>
  </w:num>
  <w:num w:numId="22">
    <w:abstractNumId w:val="2"/>
  </w:num>
  <w:num w:numId="23">
    <w:abstractNumId w:val="9"/>
  </w:num>
  <w:num w:numId="24">
    <w:abstractNumId w:val="3"/>
  </w:num>
  <w:num w:numId="25">
    <w:abstractNumId w:val="17"/>
  </w:num>
  <w:num w:numId="26">
    <w:abstractNumId w:val="29"/>
  </w:num>
  <w:num w:numId="27">
    <w:abstractNumId w:val="25"/>
  </w:num>
  <w:num w:numId="28">
    <w:abstractNumId w:val="2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8"/>
    <w:rsid w:val="000157F5"/>
    <w:rsid w:val="000339AC"/>
    <w:rsid w:val="000D693E"/>
    <w:rsid w:val="00106CE3"/>
    <w:rsid w:val="00327148"/>
    <w:rsid w:val="003627B3"/>
    <w:rsid w:val="00651415"/>
    <w:rsid w:val="006A620F"/>
    <w:rsid w:val="0072719D"/>
    <w:rsid w:val="009F71DD"/>
    <w:rsid w:val="00A54CB3"/>
    <w:rsid w:val="00A96B3E"/>
    <w:rsid w:val="00AE0175"/>
    <w:rsid w:val="00AF0228"/>
    <w:rsid w:val="00BB3304"/>
    <w:rsid w:val="00C77E4E"/>
    <w:rsid w:val="00E56E80"/>
    <w:rsid w:val="00E97573"/>
    <w:rsid w:val="00FD487E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5D61"/>
  <w15:chartTrackingRefBased/>
  <w15:docId w15:val="{C17A9A8E-7DC9-4C47-8BDB-0488B269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148"/>
    <w:pPr>
      <w:spacing w:after="120" w:line="276" w:lineRule="auto"/>
      <w:jc w:val="both"/>
    </w:pPr>
    <w:rPr>
      <w:rFonts w:ascii="Calibri" w:hAnsi="Calibri" w:cs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3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0175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Farebný zoznam – zvýraznenie 11"/>
    <w:basedOn w:val="Normlny"/>
    <w:link w:val="OdsekzoznamuChar"/>
    <w:uiPriority w:val="34"/>
    <w:qFormat/>
    <w:rsid w:val="0032714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qFormat/>
    <w:rsid w:val="003271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271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27148"/>
    <w:rPr>
      <w:rFonts w:ascii="Calibri" w:hAnsi="Calibri" w:cs="Times New Roman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List Paragraph Char,Farebný zoznam – zvýraznenie 11 Char"/>
    <w:basedOn w:val="Predvolenpsmoodseku"/>
    <w:link w:val="Odsekzoznamu"/>
    <w:uiPriority w:val="34"/>
    <w:qFormat/>
    <w:locked/>
    <w:rsid w:val="00327148"/>
    <w:rPr>
      <w:rFonts w:ascii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148"/>
    <w:rPr>
      <w:rFonts w:ascii="Segoe UI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AE0175"/>
    <w:rPr>
      <w:rFonts w:ascii="Calibri" w:eastAsiaTheme="majorEastAsia" w:hAnsi="Calibri" w:cstheme="majorBidi"/>
      <w:b/>
      <w:bCs/>
      <w:iCs/>
      <w:color w:val="2E74B5" w:themeColor="accent1" w:themeShade="BF"/>
      <w:sz w:val="24"/>
      <w:szCs w:val="24"/>
    </w:rPr>
  </w:style>
  <w:style w:type="table" w:styleId="Mriekatabuky">
    <w:name w:val="Table Grid"/>
    <w:basedOn w:val="Normlnatabuka"/>
    <w:uiPriority w:val="59"/>
    <w:rsid w:val="00AE0175"/>
    <w:pPr>
      <w:spacing w:after="0" w:line="240" w:lineRule="auto"/>
      <w:jc w:val="both"/>
    </w:pPr>
    <w:rPr>
      <w:rFonts w:ascii="Calibri" w:hAnsi="Calibri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175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AE0175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E0175"/>
    <w:rPr>
      <w:rFonts w:eastAsiaTheme="minorEastAsia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9AC"/>
    <w:rPr>
      <w:rFonts w:ascii="Calibri" w:hAnsi="Calibri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9AC"/>
    <w:rPr>
      <w:rFonts w:ascii="Calibri" w:hAnsi="Calibri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33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8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87E"/>
    <w:rPr>
      <w:rFonts w:ascii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2071-8772-4736-84D6-EE7239D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Kocianová Ingrid</cp:lastModifiedBy>
  <cp:revision>7</cp:revision>
  <cp:lastPrinted>2018-04-09T11:44:00Z</cp:lastPrinted>
  <dcterms:created xsi:type="dcterms:W3CDTF">2018-10-17T10:57:00Z</dcterms:created>
  <dcterms:modified xsi:type="dcterms:W3CDTF">2019-01-14T11:56:00Z</dcterms:modified>
</cp:coreProperties>
</file>