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37" w:rsidRPr="00532A2E" w:rsidRDefault="003D6437" w:rsidP="00532A2E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32A2E">
        <w:rPr>
          <w:b/>
          <w:bCs/>
          <w:sz w:val="28"/>
          <w:szCs w:val="28"/>
        </w:rPr>
        <w:t xml:space="preserve">INFORMÁCIA PRE ŽIADATEĽOV </w:t>
      </w:r>
    </w:p>
    <w:p w:rsidR="003D6437" w:rsidRDefault="003D6437" w:rsidP="00D4012E">
      <w:pPr>
        <w:jc w:val="center"/>
      </w:pPr>
      <w:r w:rsidRPr="00800911">
        <w:t xml:space="preserve">o nenávratný finančný príspevok z PRV SR 2007 </w:t>
      </w:r>
      <w:r>
        <w:t>–</w:t>
      </w:r>
      <w:r w:rsidRPr="00800911">
        <w:t xml:space="preserve"> 2013</w:t>
      </w:r>
      <w:r>
        <w:t xml:space="preserve"> </w:t>
      </w:r>
    </w:p>
    <w:p w:rsidR="003D6437" w:rsidRPr="00800911" w:rsidRDefault="003D6437" w:rsidP="00D4012E">
      <w:pPr>
        <w:jc w:val="center"/>
      </w:pPr>
      <w:r>
        <w:t>v súvislosti s výzvou č. 2012/PRV/20 na opatrenie 1.1 „Modernizácia fariem“  a výzvou č. 2012/PRV/21 na opatrenie 1.2 „Pridávanie hodnoty do poľnohospodárskych produktov a produktov lesného hospodárstva“</w:t>
      </w:r>
    </w:p>
    <w:p w:rsidR="003D6437" w:rsidRPr="00527BFF" w:rsidRDefault="003D6437" w:rsidP="00D4012E">
      <w:pPr>
        <w:jc w:val="center"/>
        <w:rPr>
          <w:b/>
          <w:bCs/>
        </w:rPr>
      </w:pPr>
    </w:p>
    <w:p w:rsidR="003D6437" w:rsidRPr="00323CE4" w:rsidRDefault="003D6437" w:rsidP="0090543F">
      <w:pPr>
        <w:jc w:val="center"/>
      </w:pPr>
      <w:r w:rsidRPr="00532A2E">
        <w:rPr>
          <w:b/>
          <w:bCs/>
          <w:sz w:val="28"/>
          <w:szCs w:val="28"/>
        </w:rPr>
        <w:t xml:space="preserve">o postupe pri obstarávaní tovarov, stavebných prác a služieb v zmysle zákona č. 25/2006 Z. z. o verejnom obstarávaní </w:t>
      </w:r>
      <w:r w:rsidRPr="00323CE4">
        <w:t>v znení neskorších predpisov (ďalej len „zákon“).</w:t>
      </w:r>
    </w:p>
    <w:p w:rsidR="003D6437" w:rsidRPr="0029224D" w:rsidRDefault="003D6437" w:rsidP="00527BFF">
      <w:pPr>
        <w:keepNext/>
        <w:widowControl w:val="0"/>
        <w:pBdr>
          <w:top w:val="single" w:sz="4" w:space="1" w:color="auto"/>
        </w:pBdr>
        <w:adjustRightInd w:val="0"/>
        <w:spacing w:before="60" w:after="60" w:line="300" w:lineRule="exact"/>
        <w:jc w:val="both"/>
        <w:textAlignment w:val="baseline"/>
        <w:outlineLvl w:val="1"/>
        <w:rPr>
          <w:color w:val="000000"/>
        </w:rPr>
      </w:pPr>
    </w:p>
    <w:p w:rsidR="003D6437" w:rsidRDefault="003D6437" w:rsidP="002F78D1">
      <w:pPr>
        <w:spacing w:before="60" w:after="60" w:line="300" w:lineRule="exact"/>
        <w:jc w:val="both"/>
        <w:rPr>
          <w:color w:val="000000"/>
        </w:rPr>
      </w:pPr>
      <w:r>
        <w:rPr>
          <w:color w:val="000000"/>
        </w:rPr>
        <w:t xml:space="preserve">Žiadateľ o NFP z PRV SR 2007 – 2013 je povinný obstarávať tovary, stavebné práce a služby v súlade so zákonom, ak to tento zákon vyžaduje. </w:t>
      </w:r>
    </w:p>
    <w:p w:rsidR="003D6437" w:rsidRPr="0029224D" w:rsidRDefault="003D6437" w:rsidP="002F78D1">
      <w:pPr>
        <w:spacing w:before="60" w:after="60" w:line="300" w:lineRule="exact"/>
        <w:jc w:val="both"/>
        <w:rPr>
          <w:color w:val="000000"/>
        </w:rPr>
      </w:pPr>
      <w:r>
        <w:rPr>
          <w:color w:val="000000"/>
        </w:rPr>
        <w:t xml:space="preserve">Podľa tohto zákona je žiadateľ </w:t>
      </w:r>
      <w:r w:rsidRPr="0029224D">
        <w:rPr>
          <w:b/>
          <w:bCs/>
          <w:color w:val="000000"/>
        </w:rPr>
        <w:t>osob</w:t>
      </w:r>
      <w:r>
        <w:rPr>
          <w:b/>
          <w:bCs/>
          <w:color w:val="000000"/>
        </w:rPr>
        <w:t>ou</w:t>
      </w:r>
      <w:r w:rsidRPr="0029224D">
        <w:rPr>
          <w:b/>
          <w:bCs/>
          <w:color w:val="000000"/>
        </w:rPr>
        <w:t xml:space="preserve"> povinn</w:t>
      </w:r>
      <w:r>
        <w:rPr>
          <w:b/>
          <w:bCs/>
          <w:color w:val="000000"/>
        </w:rPr>
        <w:t>ou</w:t>
      </w:r>
      <w:r w:rsidRPr="0029224D">
        <w:rPr>
          <w:b/>
          <w:bCs/>
          <w:color w:val="000000"/>
        </w:rPr>
        <w:t xml:space="preserve"> obstarávať</w:t>
      </w:r>
      <w:r w:rsidRPr="0029224D">
        <w:rPr>
          <w:color w:val="000000"/>
        </w:rPr>
        <w:t xml:space="preserve"> v zmysle § 7</w:t>
      </w:r>
      <w:r>
        <w:rPr>
          <w:color w:val="000000"/>
        </w:rPr>
        <w:t xml:space="preserve"> zákona vtedy</w:t>
      </w:r>
      <w:r w:rsidRPr="0029224D">
        <w:rPr>
          <w:color w:val="000000"/>
        </w:rPr>
        <w:t xml:space="preserve">:  </w:t>
      </w:r>
    </w:p>
    <w:p w:rsidR="003D6437" w:rsidRDefault="003D6437" w:rsidP="005C7C43">
      <w:pPr>
        <w:numPr>
          <w:ilvl w:val="1"/>
          <w:numId w:val="12"/>
        </w:numPr>
        <w:tabs>
          <w:tab w:val="clear" w:pos="1440"/>
          <w:tab w:val="left" w:pos="567"/>
        </w:tabs>
        <w:spacing w:before="60" w:after="120" w:line="300" w:lineRule="exact"/>
        <w:ind w:left="426" w:hanging="142"/>
        <w:jc w:val="both"/>
        <w:rPr>
          <w:color w:val="000000"/>
        </w:rPr>
      </w:pPr>
      <w:r w:rsidRPr="0029224D">
        <w:rPr>
          <w:color w:val="000000"/>
        </w:rPr>
        <w:t xml:space="preserve">ak </w:t>
      </w:r>
      <w:r>
        <w:rPr>
          <w:color w:val="000000"/>
        </w:rPr>
        <w:t xml:space="preserve">žiadateľ nie je verejným obstarávateľom ani obstarávateľom a </w:t>
      </w:r>
      <w:r w:rsidRPr="0029224D">
        <w:rPr>
          <w:color w:val="000000"/>
        </w:rPr>
        <w:t xml:space="preserve">verejný obstarávateľ </w:t>
      </w:r>
      <w:r>
        <w:rPr>
          <w:color w:val="000000"/>
        </w:rPr>
        <w:t>mu poskytne</w:t>
      </w:r>
      <w:r w:rsidRPr="0029224D">
        <w:rPr>
          <w:color w:val="000000"/>
        </w:rPr>
        <w:t xml:space="preserve"> </w:t>
      </w:r>
      <w:r w:rsidRPr="0029224D">
        <w:rPr>
          <w:b/>
          <w:bCs/>
          <w:color w:val="000000"/>
          <w:u w:val="single"/>
        </w:rPr>
        <w:t>viac ako 50%</w:t>
      </w:r>
      <w:r w:rsidRPr="0029224D">
        <w:rPr>
          <w:color w:val="000000"/>
        </w:rPr>
        <w:t xml:space="preserve"> finančných prostriedkov na dodanie tovaru, na uskutočnenie stavebných prác a na poskytnutie služieb</w:t>
      </w:r>
      <w:r>
        <w:rPr>
          <w:color w:val="000000"/>
        </w:rPr>
        <w:t xml:space="preserve">. </w:t>
      </w:r>
    </w:p>
    <w:p w:rsidR="003D6437" w:rsidRDefault="003D6437" w:rsidP="00AB493B">
      <w:pPr>
        <w:tabs>
          <w:tab w:val="left" w:pos="540"/>
        </w:tabs>
        <w:spacing w:before="60" w:after="120" w:line="300" w:lineRule="exact"/>
        <w:ind w:left="426"/>
        <w:jc w:val="both"/>
        <w:rPr>
          <w:color w:val="000000"/>
        </w:rPr>
      </w:pPr>
      <w:r w:rsidRPr="007C7093">
        <w:rPr>
          <w:color w:val="000000"/>
        </w:rPr>
        <w:t xml:space="preserve">Vtedy je žiadateľ </w:t>
      </w:r>
      <w:r w:rsidRPr="007C7093">
        <w:rPr>
          <w:b/>
          <w:bCs/>
          <w:color w:val="000000"/>
        </w:rPr>
        <w:t>povinný</w:t>
      </w:r>
      <w:r w:rsidRPr="007C7093">
        <w:rPr>
          <w:color w:val="000000"/>
        </w:rPr>
        <w:t xml:space="preserve"> </w:t>
      </w:r>
      <w:r w:rsidRPr="007C7093">
        <w:rPr>
          <w:b/>
          <w:bCs/>
          <w:color w:val="000000"/>
        </w:rPr>
        <w:t xml:space="preserve">postupovať ako VEREJNÝ OBSTARÁVATEĽ </w:t>
      </w:r>
      <w:r w:rsidRPr="007C7093">
        <w:rPr>
          <w:color w:val="000000"/>
        </w:rPr>
        <w:t>podľa zákona;</w:t>
      </w:r>
    </w:p>
    <w:p w:rsidR="003D6437" w:rsidRPr="007C7093" w:rsidRDefault="003D6437" w:rsidP="00AB493B">
      <w:pPr>
        <w:tabs>
          <w:tab w:val="left" w:pos="540"/>
        </w:tabs>
        <w:spacing w:before="60" w:after="120" w:line="300" w:lineRule="exact"/>
        <w:ind w:left="426"/>
        <w:jc w:val="both"/>
        <w:rPr>
          <w:color w:val="000000"/>
        </w:rPr>
      </w:pPr>
    </w:p>
    <w:p w:rsidR="003D6437" w:rsidRDefault="003D6437" w:rsidP="00BE7F82">
      <w:pPr>
        <w:numPr>
          <w:ilvl w:val="1"/>
          <w:numId w:val="12"/>
        </w:numPr>
        <w:tabs>
          <w:tab w:val="clear" w:pos="1440"/>
          <w:tab w:val="num" w:pos="426"/>
          <w:tab w:val="left" w:pos="540"/>
        </w:tabs>
        <w:spacing w:before="60" w:after="60" w:line="300" w:lineRule="exact"/>
        <w:ind w:left="426" w:hanging="142"/>
        <w:jc w:val="both"/>
        <w:rPr>
          <w:color w:val="000000"/>
        </w:rPr>
      </w:pPr>
      <w:r w:rsidRPr="0029224D">
        <w:rPr>
          <w:color w:val="000000"/>
        </w:rPr>
        <w:t xml:space="preserve">ak </w:t>
      </w:r>
      <w:r>
        <w:rPr>
          <w:color w:val="000000"/>
        </w:rPr>
        <w:t>žiadateľ nie je verejným obstarávateľom ani obstarávateľom a vere</w:t>
      </w:r>
      <w:r w:rsidRPr="0029224D">
        <w:rPr>
          <w:color w:val="000000"/>
        </w:rPr>
        <w:t xml:space="preserve">jný obstarávateľ </w:t>
      </w:r>
      <w:r>
        <w:rPr>
          <w:color w:val="000000"/>
        </w:rPr>
        <w:t xml:space="preserve">mu </w:t>
      </w:r>
      <w:r w:rsidRPr="0029224D">
        <w:rPr>
          <w:color w:val="000000"/>
        </w:rPr>
        <w:t xml:space="preserve">poskytne </w:t>
      </w:r>
      <w:r w:rsidRPr="004D5238">
        <w:rPr>
          <w:b/>
          <w:bCs/>
          <w:color w:val="000000"/>
          <w:u w:val="single"/>
        </w:rPr>
        <w:t>max.50%</w:t>
      </w:r>
      <w:r w:rsidRPr="0029224D">
        <w:rPr>
          <w:color w:val="000000"/>
        </w:rPr>
        <w:t xml:space="preserve"> finančných prostriedkov na dodanie tovaru, na uskutočnenie stavebných prác a na poskytnutie služieb</w:t>
      </w:r>
      <w:r>
        <w:rPr>
          <w:color w:val="000000"/>
        </w:rPr>
        <w:t xml:space="preserve">. </w:t>
      </w:r>
    </w:p>
    <w:p w:rsidR="003D6437" w:rsidRPr="0029224D" w:rsidRDefault="003D6437" w:rsidP="00E872A0">
      <w:pPr>
        <w:tabs>
          <w:tab w:val="left" w:pos="540"/>
        </w:tabs>
        <w:spacing w:before="60" w:after="60" w:line="300" w:lineRule="exact"/>
        <w:ind w:left="426"/>
        <w:jc w:val="both"/>
        <w:rPr>
          <w:color w:val="000000"/>
        </w:rPr>
      </w:pPr>
      <w:r>
        <w:rPr>
          <w:color w:val="000000"/>
        </w:rPr>
        <w:t>Vtedy je žiadateľ</w:t>
      </w:r>
      <w:r w:rsidRPr="009050BB">
        <w:rPr>
          <w:color w:val="000000"/>
        </w:rPr>
        <w:t xml:space="preserve"> povinn</w:t>
      </w:r>
      <w:r>
        <w:rPr>
          <w:color w:val="000000"/>
        </w:rPr>
        <w:t>ý</w:t>
      </w:r>
      <w:r w:rsidRPr="009050BB">
        <w:rPr>
          <w:color w:val="000000"/>
        </w:rPr>
        <w:t xml:space="preserve"> používať</w:t>
      </w:r>
      <w:r w:rsidRPr="0029224D">
        <w:rPr>
          <w:color w:val="000000"/>
        </w:rPr>
        <w:t>:</w:t>
      </w:r>
    </w:p>
    <w:p w:rsidR="003D6437" w:rsidRDefault="003D6437" w:rsidP="00BE7F82">
      <w:pPr>
        <w:numPr>
          <w:ilvl w:val="2"/>
          <w:numId w:val="11"/>
        </w:numPr>
        <w:tabs>
          <w:tab w:val="clear" w:pos="1260"/>
          <w:tab w:val="left" w:pos="540"/>
          <w:tab w:val="num" w:pos="851"/>
        </w:tabs>
        <w:spacing w:before="60" w:after="60" w:line="300" w:lineRule="exact"/>
        <w:ind w:left="851" w:hanging="425"/>
        <w:jc w:val="both"/>
        <w:rPr>
          <w:color w:val="000000"/>
        </w:rPr>
      </w:pPr>
      <w:r w:rsidRPr="0029224D">
        <w:rPr>
          <w:color w:val="000000"/>
        </w:rPr>
        <w:t xml:space="preserve">postup zadávania </w:t>
      </w:r>
      <w:r w:rsidRPr="0029224D">
        <w:rPr>
          <w:b/>
          <w:bCs/>
          <w:color w:val="000000"/>
          <w:u w:val="single"/>
        </w:rPr>
        <w:t>podprahových zákaziek podľa § 99 až 101</w:t>
      </w:r>
      <w:r>
        <w:rPr>
          <w:b/>
          <w:bCs/>
          <w:color w:val="000000"/>
          <w:u w:val="single"/>
        </w:rPr>
        <w:t xml:space="preserve"> zákona</w:t>
      </w:r>
      <w:r w:rsidRPr="0029224D">
        <w:rPr>
          <w:color w:val="000000"/>
        </w:rPr>
        <w:t xml:space="preserve">, ak predpokladaná hodnota zákazky je </w:t>
      </w:r>
      <w:r w:rsidRPr="0029224D">
        <w:rPr>
          <w:b/>
          <w:bCs/>
          <w:color w:val="000000"/>
          <w:u w:val="single"/>
        </w:rPr>
        <w:t>rovnaká alebo vyššia ako finančný limit podľa § 4 ods. 5</w:t>
      </w:r>
      <w:r w:rsidRPr="0029224D">
        <w:rPr>
          <w:color w:val="000000"/>
        </w:rPr>
        <w:t xml:space="preserve"> (</w:t>
      </w:r>
      <w:r w:rsidRPr="0029224D">
        <w:rPr>
          <w:b/>
          <w:bCs/>
          <w:color w:val="000000"/>
        </w:rPr>
        <w:t>10 000 EUR</w:t>
      </w:r>
      <w:r w:rsidRPr="0029224D">
        <w:rPr>
          <w:color w:val="000000"/>
        </w:rPr>
        <w:t xml:space="preserve">, ak ide o zákazku na dodanie tovaru alebo o zákazku na poskytnutie služieb, </w:t>
      </w:r>
      <w:r w:rsidRPr="0029224D">
        <w:rPr>
          <w:b/>
          <w:bCs/>
          <w:color w:val="000000"/>
        </w:rPr>
        <w:t>20 000 EUR</w:t>
      </w:r>
      <w:r w:rsidRPr="0029224D">
        <w:rPr>
          <w:color w:val="000000"/>
        </w:rPr>
        <w:t>, ak ide o zákazku na uskutočnenie stavebných prác)</w:t>
      </w:r>
      <w:r>
        <w:rPr>
          <w:color w:val="000000"/>
        </w:rPr>
        <w:t>.</w:t>
      </w:r>
    </w:p>
    <w:p w:rsidR="003D6437" w:rsidRDefault="003D6437" w:rsidP="00E872A0">
      <w:pPr>
        <w:tabs>
          <w:tab w:val="left" w:pos="540"/>
        </w:tabs>
        <w:spacing w:before="60" w:after="60" w:line="300" w:lineRule="exact"/>
        <w:ind w:left="851"/>
        <w:jc w:val="both"/>
        <w:rPr>
          <w:color w:val="000000"/>
        </w:rPr>
      </w:pPr>
      <w:r>
        <w:rPr>
          <w:color w:val="000000"/>
        </w:rPr>
        <w:t>P</w:t>
      </w:r>
      <w:r w:rsidRPr="0029224D">
        <w:rPr>
          <w:color w:val="000000"/>
        </w:rPr>
        <w:t xml:space="preserve">ri zadávaní takej zákazky </w:t>
      </w:r>
      <w:r w:rsidRPr="0029224D">
        <w:rPr>
          <w:b/>
          <w:bCs/>
          <w:color w:val="000000"/>
        </w:rPr>
        <w:t>nie je</w:t>
      </w:r>
      <w:r w:rsidRPr="0029224D">
        <w:rPr>
          <w:color w:val="000000"/>
        </w:rPr>
        <w:t xml:space="preserve"> táto osoba povinná vykonávať činnosti vo verejnom obstarávaní prostredníctvom </w:t>
      </w:r>
      <w:r w:rsidRPr="0029224D">
        <w:rPr>
          <w:b/>
          <w:bCs/>
          <w:color w:val="000000"/>
        </w:rPr>
        <w:t>odborne spôsobilej osoby</w:t>
      </w:r>
      <w:r w:rsidRPr="0029224D">
        <w:rPr>
          <w:color w:val="000000"/>
        </w:rPr>
        <w:t>.</w:t>
      </w:r>
    </w:p>
    <w:p w:rsidR="003D6437" w:rsidRPr="0029224D" w:rsidRDefault="003D6437" w:rsidP="00E872A0">
      <w:pPr>
        <w:tabs>
          <w:tab w:val="left" w:pos="540"/>
        </w:tabs>
        <w:spacing w:before="60" w:after="60" w:line="300" w:lineRule="exact"/>
        <w:ind w:left="851"/>
        <w:jc w:val="both"/>
        <w:rPr>
          <w:color w:val="000000"/>
        </w:rPr>
      </w:pPr>
    </w:p>
    <w:p w:rsidR="003D6437" w:rsidRPr="0029224D" w:rsidRDefault="003D6437" w:rsidP="00BE7F82">
      <w:pPr>
        <w:numPr>
          <w:ilvl w:val="2"/>
          <w:numId w:val="11"/>
        </w:numPr>
        <w:tabs>
          <w:tab w:val="left" w:pos="540"/>
          <w:tab w:val="num" w:pos="851"/>
        </w:tabs>
        <w:spacing w:before="60" w:after="60" w:line="300" w:lineRule="exact"/>
        <w:ind w:left="851" w:hanging="425"/>
        <w:jc w:val="both"/>
        <w:rPr>
          <w:color w:val="000000"/>
        </w:rPr>
      </w:pPr>
      <w:r w:rsidRPr="0029224D">
        <w:rPr>
          <w:color w:val="000000"/>
        </w:rPr>
        <w:t xml:space="preserve">postup zadávania </w:t>
      </w:r>
      <w:r w:rsidRPr="0029224D">
        <w:rPr>
          <w:b/>
          <w:bCs/>
          <w:color w:val="000000"/>
          <w:u w:val="single"/>
        </w:rPr>
        <w:t>zákaziek s nízkymi hodnotami podľa § 102</w:t>
      </w:r>
      <w:r>
        <w:rPr>
          <w:rStyle w:val="Odkaznapoznmkupodiarou"/>
          <w:b/>
          <w:bCs/>
          <w:color w:val="000000"/>
          <w:u w:val="single"/>
        </w:rPr>
        <w:footnoteReference w:id="1"/>
      </w:r>
      <w:r w:rsidRPr="0029224D">
        <w:rPr>
          <w:color w:val="000000"/>
        </w:rPr>
        <w:t xml:space="preserve">, ak predpokladaná hodnota zákazky je </w:t>
      </w:r>
      <w:r w:rsidRPr="0029224D">
        <w:rPr>
          <w:b/>
          <w:bCs/>
          <w:color w:val="000000"/>
          <w:u w:val="single"/>
        </w:rPr>
        <w:t>nižšia ako finančný limit podľa § 4 ods. 5</w:t>
      </w:r>
      <w:r w:rsidRPr="0029224D">
        <w:rPr>
          <w:color w:val="000000"/>
        </w:rPr>
        <w:t xml:space="preserve"> (</w:t>
      </w:r>
      <w:r w:rsidRPr="0029224D">
        <w:rPr>
          <w:b/>
          <w:bCs/>
          <w:color w:val="000000"/>
        </w:rPr>
        <w:t>10 000 EUR</w:t>
      </w:r>
      <w:r w:rsidRPr="0029224D">
        <w:rPr>
          <w:color w:val="000000"/>
        </w:rPr>
        <w:t xml:space="preserve">, ak ide o zákazku na dodanie tovaru alebo o zákazku na poskytnutie služieb, </w:t>
      </w:r>
      <w:r w:rsidRPr="0029224D">
        <w:rPr>
          <w:b/>
          <w:bCs/>
          <w:color w:val="000000"/>
        </w:rPr>
        <w:t>20 000 EUR</w:t>
      </w:r>
      <w:r w:rsidRPr="0029224D">
        <w:rPr>
          <w:color w:val="000000"/>
        </w:rPr>
        <w:t xml:space="preserve">, ak ide o zákazku na uskutočnenie stavebných prác). </w:t>
      </w:r>
    </w:p>
    <w:p w:rsidR="003D6437" w:rsidRPr="0029224D" w:rsidRDefault="003D6437" w:rsidP="00F36803">
      <w:pPr>
        <w:pStyle w:val="Odsekzoznamu"/>
        <w:spacing w:before="60" w:after="60" w:line="300" w:lineRule="exact"/>
        <w:ind w:left="567"/>
        <w:jc w:val="both"/>
        <w:rPr>
          <w:color w:val="000000"/>
        </w:rPr>
      </w:pPr>
    </w:p>
    <w:p w:rsidR="003D6437" w:rsidRDefault="003D6437" w:rsidP="00152E04"/>
    <w:p w:rsidR="003D6437" w:rsidRDefault="003D6437" w:rsidP="00152E04">
      <w:r>
        <w:t>V Bratislave 29.2.2012.</w:t>
      </w:r>
    </w:p>
    <w:sectPr w:rsidR="003D6437" w:rsidSect="00AA730A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37" w:rsidRDefault="003D6437" w:rsidP="00152E04">
      <w:r>
        <w:separator/>
      </w:r>
    </w:p>
  </w:endnote>
  <w:endnote w:type="continuationSeparator" w:id="0">
    <w:p w:rsidR="003D6437" w:rsidRDefault="003D6437" w:rsidP="0015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37" w:rsidRPr="006E6A2B" w:rsidRDefault="003D6437" w:rsidP="00392413">
    <w:pPr>
      <w:pStyle w:val="Pta"/>
      <w:pBdr>
        <w:top w:val="single" w:sz="4" w:space="1" w:color="auto"/>
      </w:pBdr>
      <w:ind w:right="360"/>
      <w:rPr>
        <w:i/>
        <w:iCs/>
        <w:sz w:val="20"/>
        <w:szCs w:val="20"/>
      </w:rPr>
    </w:pPr>
    <w:r w:rsidRPr="006E6A2B">
      <w:rPr>
        <w:i/>
        <w:iCs/>
        <w:sz w:val="20"/>
        <w:szCs w:val="20"/>
      </w:rPr>
      <w:t>Ministerstvo pôdohospodárstva</w:t>
    </w:r>
    <w:r>
      <w:rPr>
        <w:i/>
        <w:iCs/>
        <w:sz w:val="20"/>
        <w:szCs w:val="20"/>
      </w:rPr>
      <w:t xml:space="preserve"> a  rozvoja</w:t>
    </w:r>
    <w:r w:rsidRPr="006E6A2B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vidieka </w:t>
    </w:r>
    <w:r w:rsidRPr="006E6A2B">
      <w:rPr>
        <w:i/>
        <w:iCs/>
        <w:sz w:val="20"/>
        <w:szCs w:val="20"/>
      </w:rPr>
      <w:t>SR</w:t>
    </w:r>
    <w:r>
      <w:rPr>
        <w:i/>
        <w:iCs/>
        <w:sz w:val="20"/>
        <w:szCs w:val="20"/>
      </w:rPr>
      <w:t xml:space="preserve">, </w:t>
    </w:r>
    <w:hyperlink r:id="rId1" w:history="1">
      <w:r w:rsidRPr="0056661E">
        <w:rPr>
          <w:rStyle w:val="Hypertextovprepojenie"/>
          <w:i/>
          <w:iCs/>
          <w:sz w:val="20"/>
          <w:szCs w:val="20"/>
        </w:rPr>
        <w:t>www.land.gov.sk</w:t>
      </w:r>
    </w:hyperlink>
    <w:r>
      <w:rPr>
        <w:i/>
        <w:iCs/>
        <w:sz w:val="20"/>
        <w:szCs w:val="20"/>
      </w:rPr>
      <w:t xml:space="preserve">  </w:t>
    </w:r>
  </w:p>
  <w:p w:rsidR="003D6437" w:rsidRDefault="003D6437" w:rsidP="00392413">
    <w:pPr>
      <w:pStyle w:val="Pta"/>
    </w:pPr>
    <w:r w:rsidRPr="006E6A2B">
      <w:rPr>
        <w:i/>
        <w:iCs/>
        <w:sz w:val="20"/>
        <w:szCs w:val="20"/>
      </w:rPr>
      <w:t>Pôdohospodárska platobná agentúra</w:t>
    </w:r>
    <w:r>
      <w:rPr>
        <w:i/>
        <w:iCs/>
        <w:sz w:val="20"/>
        <w:szCs w:val="20"/>
      </w:rPr>
      <w:t xml:space="preserve">, </w:t>
    </w:r>
    <w:hyperlink r:id="rId2" w:history="1">
      <w:r w:rsidRPr="006B1F31">
        <w:rPr>
          <w:rStyle w:val="Hypertextovprepojenie"/>
          <w:i/>
          <w:iCs/>
          <w:sz w:val="20"/>
          <w:szCs w:val="20"/>
        </w:rPr>
        <w:t>www.apa.sk</w:t>
      </w:r>
    </w:hyperlink>
    <w:r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37" w:rsidRDefault="003D6437" w:rsidP="00152E04">
      <w:r>
        <w:separator/>
      </w:r>
    </w:p>
  </w:footnote>
  <w:footnote w:type="continuationSeparator" w:id="0">
    <w:p w:rsidR="003D6437" w:rsidRDefault="003D6437" w:rsidP="00152E04">
      <w:r>
        <w:continuationSeparator/>
      </w:r>
    </w:p>
  </w:footnote>
  <w:footnote w:id="1">
    <w:p w:rsidR="00000000" w:rsidRDefault="003D6437" w:rsidP="00E872A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E872A0">
        <w:rPr>
          <w:i/>
          <w:iCs/>
        </w:rPr>
        <w:t>postup je opísaný podrobnejšie v kapitole 4 Príručky pre žiadateľa o poskytnutie NFP z PRV SR 2007 – 2013 pre 4. výzvu na opatrenie 1.1. „Modernizácia fariem“, resp. pre 2. výzvy na opatrenie 1.2 „Pridávanie hodnoty do poľnohospodárskych produktov a produktov lesného hospodárstva“</w:t>
      </w:r>
      <w:r>
        <w:rPr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1DF"/>
    <w:multiLevelType w:val="multilevel"/>
    <w:tmpl w:val="D170760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F2066AF"/>
    <w:multiLevelType w:val="multilevel"/>
    <w:tmpl w:val="7ABCE3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 w15:restartNumberingAfterBreak="0">
    <w:nsid w:val="13030D89"/>
    <w:multiLevelType w:val="multilevel"/>
    <w:tmpl w:val="2FD08B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155F1839"/>
    <w:multiLevelType w:val="hybridMultilevel"/>
    <w:tmpl w:val="22F2E33A"/>
    <w:lvl w:ilvl="0" w:tplc="F41C915E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65A5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1C915E">
      <w:start w:val="1"/>
      <w:numFmt w:val="upp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A2482A7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E05E3"/>
    <w:multiLevelType w:val="multilevel"/>
    <w:tmpl w:val="F086E8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1E7063"/>
    <w:multiLevelType w:val="multilevel"/>
    <w:tmpl w:val="973EAE2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6" w15:restartNumberingAfterBreak="0">
    <w:nsid w:val="799B7BCC"/>
    <w:multiLevelType w:val="hybridMultilevel"/>
    <w:tmpl w:val="6416F52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1959C2"/>
    <w:multiLevelType w:val="hybridMultilevel"/>
    <w:tmpl w:val="655CDC5A"/>
    <w:lvl w:ilvl="0" w:tplc="5FEAF35C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hint="default"/>
      </w:rPr>
    </w:lvl>
    <w:lvl w:ilvl="1" w:tplc="465A5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1C915E">
      <w:start w:val="1"/>
      <w:numFmt w:val="upp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A2482A7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397284"/>
    <w:multiLevelType w:val="multilevel"/>
    <w:tmpl w:val="7CD218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04"/>
    <w:rsid w:val="00047BEE"/>
    <w:rsid w:val="000678B3"/>
    <w:rsid w:val="00102A13"/>
    <w:rsid w:val="00110A74"/>
    <w:rsid w:val="001347BC"/>
    <w:rsid w:val="00152E04"/>
    <w:rsid w:val="001606E4"/>
    <w:rsid w:val="001924AB"/>
    <w:rsid w:val="0029224D"/>
    <w:rsid w:val="002F78D1"/>
    <w:rsid w:val="00315F98"/>
    <w:rsid w:val="00323CE4"/>
    <w:rsid w:val="0035101C"/>
    <w:rsid w:val="00392413"/>
    <w:rsid w:val="003A0D9B"/>
    <w:rsid w:val="003D6437"/>
    <w:rsid w:val="00451E1D"/>
    <w:rsid w:val="004C4BE7"/>
    <w:rsid w:val="004D5238"/>
    <w:rsid w:val="004F4917"/>
    <w:rsid w:val="00527BFF"/>
    <w:rsid w:val="00532A2E"/>
    <w:rsid w:val="00545FDC"/>
    <w:rsid w:val="0056661E"/>
    <w:rsid w:val="005C2D2D"/>
    <w:rsid w:val="005C7C43"/>
    <w:rsid w:val="005D2BE3"/>
    <w:rsid w:val="00605BFD"/>
    <w:rsid w:val="00697E33"/>
    <w:rsid w:val="006B1F31"/>
    <w:rsid w:val="006E6A2B"/>
    <w:rsid w:val="007068F9"/>
    <w:rsid w:val="007C7093"/>
    <w:rsid w:val="007D2292"/>
    <w:rsid w:val="007D29A4"/>
    <w:rsid w:val="007D7CB0"/>
    <w:rsid w:val="00800911"/>
    <w:rsid w:val="00875062"/>
    <w:rsid w:val="008818EE"/>
    <w:rsid w:val="009050BB"/>
    <w:rsid w:val="0090543F"/>
    <w:rsid w:val="0092385B"/>
    <w:rsid w:val="00952F54"/>
    <w:rsid w:val="009F791F"/>
    <w:rsid w:val="00A013FF"/>
    <w:rsid w:val="00A66F7B"/>
    <w:rsid w:val="00A85977"/>
    <w:rsid w:val="00AA730A"/>
    <w:rsid w:val="00AB493B"/>
    <w:rsid w:val="00AF4109"/>
    <w:rsid w:val="00B57640"/>
    <w:rsid w:val="00BA50CC"/>
    <w:rsid w:val="00BE3DEB"/>
    <w:rsid w:val="00BE7F82"/>
    <w:rsid w:val="00C35E26"/>
    <w:rsid w:val="00C419F9"/>
    <w:rsid w:val="00C41FD7"/>
    <w:rsid w:val="00C818FC"/>
    <w:rsid w:val="00CD06EB"/>
    <w:rsid w:val="00CD111C"/>
    <w:rsid w:val="00CE4C0F"/>
    <w:rsid w:val="00D2602D"/>
    <w:rsid w:val="00D4012E"/>
    <w:rsid w:val="00D51F7F"/>
    <w:rsid w:val="00D8174D"/>
    <w:rsid w:val="00E45B38"/>
    <w:rsid w:val="00E661DC"/>
    <w:rsid w:val="00E7560C"/>
    <w:rsid w:val="00E872A0"/>
    <w:rsid w:val="00F270D6"/>
    <w:rsid w:val="00F36803"/>
    <w:rsid w:val="00F8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1E3039-3EB7-45C8-9DF1-954C00C9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E0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75062"/>
    <w:pPr>
      <w:keepNext/>
      <w:spacing w:before="240" w:after="60"/>
      <w:jc w:val="both"/>
      <w:outlineLvl w:val="0"/>
    </w:pPr>
    <w:rPr>
      <w:b/>
      <w:bCs/>
      <w:kern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75062"/>
    <w:pPr>
      <w:keepNext/>
      <w:numPr>
        <w:ilvl w:val="1"/>
        <w:numId w:val="8"/>
      </w:numPr>
      <w:spacing w:before="240" w:after="60"/>
      <w:outlineLvl w:val="1"/>
    </w:pPr>
    <w:rPr>
      <w:b/>
      <w:bCs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75062"/>
    <w:pPr>
      <w:keepNext/>
      <w:numPr>
        <w:ilvl w:val="2"/>
        <w:numId w:val="8"/>
      </w:numPr>
      <w:spacing w:before="240" w:after="60"/>
      <w:outlineLvl w:val="2"/>
    </w:pPr>
    <w:rPr>
      <w:b/>
      <w:bCs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75062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5062"/>
    <w:pPr>
      <w:numPr>
        <w:ilvl w:val="4"/>
        <w:numId w:val="8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5062"/>
    <w:pPr>
      <w:numPr>
        <w:ilvl w:val="5"/>
        <w:numId w:val="8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5062"/>
    <w:pPr>
      <w:numPr>
        <w:ilvl w:val="6"/>
        <w:numId w:val="8"/>
      </w:num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5062"/>
    <w:pPr>
      <w:numPr>
        <w:ilvl w:val="7"/>
        <w:numId w:val="8"/>
      </w:num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5062"/>
    <w:pPr>
      <w:numPr>
        <w:ilvl w:val="8"/>
        <w:numId w:val="8"/>
      </w:num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75062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Nadpis3Char">
    <w:name w:val="Nadpis 3 Char"/>
    <w:link w:val="Nadpis3"/>
    <w:uiPriority w:val="99"/>
    <w:locked/>
    <w:rsid w:val="00875062"/>
    <w:rPr>
      <w:rFonts w:ascii="Times New Roman" w:hAnsi="Times New Roman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9"/>
    <w:locked/>
    <w:rsid w:val="00875062"/>
    <w:rPr>
      <w:rFonts w:eastAsia="Times New Roman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9"/>
    <w:locked/>
    <w:rsid w:val="00875062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9"/>
    <w:locked/>
    <w:rsid w:val="00875062"/>
    <w:rPr>
      <w:rFonts w:eastAsia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9"/>
    <w:locked/>
    <w:rsid w:val="00875062"/>
    <w:rPr>
      <w:rFonts w:eastAsia="Times New Roman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9"/>
    <w:locked/>
    <w:rsid w:val="00875062"/>
    <w:rPr>
      <w:rFonts w:eastAsia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link w:val="Nadpis9"/>
    <w:uiPriority w:val="99"/>
    <w:locked/>
    <w:rsid w:val="00875062"/>
    <w:rPr>
      <w:rFonts w:ascii="Cambria" w:hAnsi="Cambria" w:cs="Cambria"/>
      <w:sz w:val="22"/>
      <w:szCs w:val="22"/>
      <w:lang w:val="x-none" w:eastAsia="en-US"/>
    </w:rPr>
  </w:style>
  <w:style w:type="paragraph" w:styleId="Nzov">
    <w:name w:val="Title"/>
    <w:basedOn w:val="Normlny"/>
    <w:link w:val="NzovChar"/>
    <w:uiPriority w:val="99"/>
    <w:qFormat/>
    <w:rsid w:val="00875062"/>
    <w:pPr>
      <w:jc w:val="center"/>
    </w:pPr>
    <w:rPr>
      <w:b/>
      <w:bCs/>
      <w:lang w:val="en-US" w:eastAsia="en-US"/>
    </w:rPr>
  </w:style>
  <w:style w:type="character" w:customStyle="1" w:styleId="Nadpis1Char">
    <w:name w:val="Nadpis 1 Char"/>
    <w:link w:val="Nadpis1"/>
    <w:uiPriority w:val="99"/>
    <w:locked/>
    <w:rsid w:val="00875062"/>
    <w:rPr>
      <w:rFonts w:ascii="Times New Roman" w:hAnsi="Times New Roman" w:cs="Times New Roman"/>
      <w:b/>
      <w:bCs/>
      <w:kern w:val="32"/>
      <w:sz w:val="24"/>
      <w:szCs w:val="24"/>
    </w:rPr>
  </w:style>
  <w:style w:type="paragraph" w:styleId="Odsekzoznamu">
    <w:name w:val="List Paragraph"/>
    <w:basedOn w:val="Normlny"/>
    <w:uiPriority w:val="99"/>
    <w:qFormat/>
    <w:rsid w:val="00875062"/>
    <w:pPr>
      <w:ind w:left="720"/>
    </w:pPr>
  </w:style>
  <w:style w:type="character" w:customStyle="1" w:styleId="NzovChar">
    <w:name w:val="Názov Char"/>
    <w:link w:val="Nzov"/>
    <w:uiPriority w:val="99"/>
    <w:locked/>
    <w:rsid w:val="00875062"/>
    <w:rPr>
      <w:rFonts w:ascii="Times New Roman" w:hAnsi="Times New Roman" w:cs="Times New Roman"/>
      <w:b/>
      <w:bCs/>
      <w:sz w:val="24"/>
      <w:szCs w:val="24"/>
    </w:rPr>
  </w:style>
  <w:style w:type="paragraph" w:styleId="Hlavikaobsahu">
    <w:name w:val="TOC Heading"/>
    <w:basedOn w:val="Nadpis1"/>
    <w:next w:val="Normlny"/>
    <w:uiPriority w:val="99"/>
    <w:qFormat/>
    <w:rsid w:val="00875062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52E04"/>
    <w:rPr>
      <w:rFonts w:ascii="Calibri" w:eastAsia="Calibri" w:hAnsi="Calibri" w:cs="Calibri"/>
      <w:sz w:val="20"/>
      <w:szCs w:val="20"/>
      <w:lang w:eastAsia="en-US"/>
    </w:rPr>
  </w:style>
  <w:style w:type="character" w:styleId="Odkaznapoznmkupodiarou">
    <w:name w:val="footnote reference"/>
    <w:aliases w:val="PGI Fußnote Ziffer,PGI Fußnote Ziffer + Times New Roman,12 b.,Zúžené o ..."/>
    <w:basedOn w:val="Predvolenpsmoodseku"/>
    <w:uiPriority w:val="99"/>
    <w:semiHidden/>
    <w:rsid w:val="00152E04"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52E04"/>
    <w:rPr>
      <w:lang w:val="x-none" w:eastAsia="en-US"/>
    </w:rPr>
  </w:style>
  <w:style w:type="paragraph" w:styleId="Hlavika">
    <w:name w:val="header"/>
    <w:basedOn w:val="Normlny"/>
    <w:link w:val="HlavikaChar"/>
    <w:uiPriority w:val="99"/>
    <w:semiHidden/>
    <w:rsid w:val="0039241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924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92413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92413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392413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545F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45FD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45FDC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45FDC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545FDC"/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45FDC"/>
    <w:rPr>
      <w:rFonts w:ascii="Times New Roman" w:hAnsi="Times New Roman" w:cs="Times New Roman"/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4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a.sk" TargetMode="External"/><Relationship Id="rId1" Type="http://schemas.openxmlformats.org/officeDocument/2006/relationships/hyperlink" Target="http://www.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agroinstitut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PRE ŽIADATEĽOV </dc:title>
  <dc:subject/>
  <dc:creator>andrea.tvrda</dc:creator>
  <cp:keywords/>
  <dc:description/>
  <cp:lastModifiedBy>Juraj GOGORA</cp:lastModifiedBy>
  <cp:revision>2</cp:revision>
  <dcterms:created xsi:type="dcterms:W3CDTF">2018-04-16T08:26:00Z</dcterms:created>
  <dcterms:modified xsi:type="dcterms:W3CDTF">2018-04-16T08:26:00Z</dcterms:modified>
</cp:coreProperties>
</file>