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08C2C" w14:textId="77777777" w:rsidR="00994597" w:rsidRPr="0029715A" w:rsidRDefault="00994597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14:paraId="325E3E3D" w14:textId="4873F8A8" w:rsidR="00994597" w:rsidRPr="0029715A" w:rsidRDefault="00B13E0E" w:rsidP="00195334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  <w:r w:rsidRPr="00B13E0E">
        <w:rPr>
          <w:rFonts w:asciiTheme="minorHAnsi" w:hAnsiTheme="minorHAnsi"/>
          <w:b/>
          <w:bCs/>
          <w:color w:val="1F497D"/>
          <w:sz w:val="24"/>
        </w:rPr>
        <w:t>Informácia pre žiadateľov o nenávratný finančný príspevok, resp. o príspevok v zmysle čl.</w:t>
      </w:r>
      <w:r w:rsidR="00846361">
        <w:rPr>
          <w:rFonts w:asciiTheme="minorHAnsi" w:hAnsiTheme="minorHAnsi"/>
          <w:b/>
          <w:bCs/>
          <w:color w:val="1F497D"/>
          <w:sz w:val="24"/>
        </w:rPr>
        <w:t> </w:t>
      </w:r>
      <w:r w:rsidR="00D91FAE">
        <w:rPr>
          <w:rFonts w:asciiTheme="minorHAnsi" w:hAnsiTheme="minorHAnsi"/>
          <w:b/>
          <w:bCs/>
          <w:color w:val="1F497D"/>
          <w:sz w:val="24"/>
        </w:rPr>
        <w:t>137</w:t>
      </w:r>
      <w:r w:rsidRPr="00B13E0E">
        <w:rPr>
          <w:rFonts w:asciiTheme="minorHAnsi" w:hAnsiTheme="minorHAnsi"/>
          <w:b/>
          <w:bCs/>
          <w:color w:val="1F497D"/>
          <w:sz w:val="24"/>
        </w:rPr>
        <w:t xml:space="preserve"> a </w:t>
      </w:r>
      <w:proofErr w:type="spellStart"/>
      <w:r w:rsidRPr="00B13E0E">
        <w:rPr>
          <w:rFonts w:asciiTheme="minorHAnsi" w:hAnsiTheme="minorHAnsi"/>
          <w:b/>
          <w:bCs/>
          <w:color w:val="1F497D"/>
          <w:sz w:val="24"/>
        </w:rPr>
        <w:t>nasl</w:t>
      </w:r>
      <w:proofErr w:type="spellEnd"/>
      <w:r w:rsidRPr="00B13E0E">
        <w:rPr>
          <w:rFonts w:asciiTheme="minorHAnsi" w:hAnsiTheme="minorHAnsi"/>
          <w:b/>
          <w:bCs/>
          <w:color w:val="1F497D"/>
          <w:sz w:val="24"/>
        </w:rPr>
        <w:t xml:space="preserve">. nariadenia Európskeho parlamentu a Rady (EÚ, </w:t>
      </w:r>
      <w:proofErr w:type="spellStart"/>
      <w:r w:rsidRPr="00B13E0E">
        <w:rPr>
          <w:rFonts w:asciiTheme="minorHAnsi" w:hAnsiTheme="minorHAnsi"/>
          <w:b/>
          <w:bCs/>
          <w:color w:val="1F497D"/>
          <w:sz w:val="24"/>
        </w:rPr>
        <w:t>Euratom</w:t>
      </w:r>
      <w:proofErr w:type="spellEnd"/>
      <w:r w:rsidRPr="00B13E0E">
        <w:rPr>
          <w:rFonts w:asciiTheme="minorHAnsi" w:hAnsiTheme="minorHAnsi"/>
          <w:b/>
          <w:bCs/>
          <w:color w:val="1F497D"/>
          <w:sz w:val="24"/>
        </w:rPr>
        <w:t xml:space="preserve">) </w:t>
      </w:r>
      <w:r w:rsidR="00D91FAE" w:rsidRPr="00D91FAE">
        <w:rPr>
          <w:rFonts w:asciiTheme="minorHAnsi" w:hAnsiTheme="minorHAnsi"/>
          <w:b/>
          <w:bCs/>
          <w:color w:val="1F497D"/>
          <w:sz w:val="24"/>
        </w:rPr>
        <w:t xml:space="preserve">2024/2509 </w:t>
      </w:r>
      <w:r w:rsidR="00D91FAE">
        <w:rPr>
          <w:rFonts w:asciiTheme="minorHAnsi" w:hAnsiTheme="minorHAnsi"/>
          <w:b/>
          <w:bCs/>
          <w:color w:val="1F497D"/>
          <w:sz w:val="24"/>
        </w:rPr>
        <w:t>z 23.</w:t>
      </w:r>
      <w:r w:rsidR="00846361">
        <w:rPr>
          <w:rFonts w:asciiTheme="minorHAnsi" w:hAnsiTheme="minorHAnsi"/>
          <w:b/>
          <w:bCs/>
          <w:color w:val="1F497D"/>
          <w:sz w:val="24"/>
        </w:rPr>
        <w:t> </w:t>
      </w:r>
      <w:r w:rsidR="00D91FAE">
        <w:rPr>
          <w:rFonts w:asciiTheme="minorHAnsi" w:hAnsiTheme="minorHAnsi"/>
          <w:b/>
          <w:bCs/>
          <w:color w:val="1F497D"/>
          <w:sz w:val="24"/>
        </w:rPr>
        <w:t xml:space="preserve">septembra 2024 , ktorým sa </w:t>
      </w:r>
      <w:r w:rsidR="009325EA">
        <w:rPr>
          <w:rFonts w:asciiTheme="minorHAnsi" w:hAnsiTheme="minorHAnsi"/>
          <w:b/>
          <w:bCs/>
          <w:color w:val="1F497D"/>
          <w:sz w:val="24"/>
        </w:rPr>
        <w:t>zrušuje</w:t>
      </w:r>
      <w:r w:rsidR="00D91FAE">
        <w:rPr>
          <w:rFonts w:asciiTheme="minorHAnsi" w:hAnsiTheme="minorHAnsi"/>
          <w:b/>
          <w:bCs/>
          <w:color w:val="1F497D"/>
          <w:sz w:val="24"/>
        </w:rPr>
        <w:t xml:space="preserve"> nariadenie </w:t>
      </w:r>
      <w:r w:rsidRPr="00B13E0E">
        <w:rPr>
          <w:rFonts w:asciiTheme="minorHAnsi" w:hAnsiTheme="minorHAnsi"/>
          <w:b/>
          <w:bCs/>
          <w:color w:val="1F497D"/>
          <w:sz w:val="24"/>
        </w:rPr>
        <w:t>1929/2015 z 28. októbra 2015</w:t>
      </w:r>
      <w:r w:rsidR="00D91FAE">
        <w:rPr>
          <w:rFonts w:asciiTheme="minorHAnsi" w:hAnsiTheme="minorHAnsi"/>
          <w:b/>
          <w:bCs/>
          <w:color w:val="1F497D"/>
          <w:sz w:val="24"/>
        </w:rPr>
        <w:t xml:space="preserve"> a</w:t>
      </w:r>
      <w:r w:rsidRPr="00B13E0E">
        <w:rPr>
          <w:rFonts w:asciiTheme="minorHAnsi" w:hAnsiTheme="minorHAnsi"/>
          <w:b/>
          <w:bCs/>
          <w:color w:val="1F497D"/>
          <w:sz w:val="24"/>
        </w:rPr>
        <w:t xml:space="preserve"> nariadenie (EÚ, </w:t>
      </w:r>
      <w:proofErr w:type="spellStart"/>
      <w:r w:rsidRPr="00B13E0E">
        <w:rPr>
          <w:rFonts w:asciiTheme="minorHAnsi" w:hAnsiTheme="minorHAnsi"/>
          <w:b/>
          <w:bCs/>
          <w:color w:val="1F497D"/>
          <w:sz w:val="24"/>
        </w:rPr>
        <w:t>Euratom</w:t>
      </w:r>
      <w:proofErr w:type="spellEnd"/>
      <w:r w:rsidRPr="00B13E0E">
        <w:rPr>
          <w:rFonts w:asciiTheme="minorHAnsi" w:hAnsiTheme="minorHAnsi"/>
          <w:b/>
          <w:bCs/>
          <w:color w:val="1F497D"/>
          <w:sz w:val="24"/>
        </w:rPr>
        <w:t>) č. 966/2012 o rozpočtových pravidlách, ktoré sa vzťahujú na</w:t>
      </w:r>
      <w:r w:rsidR="00846361">
        <w:rPr>
          <w:rFonts w:asciiTheme="minorHAnsi" w:hAnsiTheme="minorHAnsi"/>
          <w:b/>
          <w:bCs/>
          <w:color w:val="1F497D"/>
          <w:sz w:val="24"/>
        </w:rPr>
        <w:t> </w:t>
      </w:r>
      <w:r w:rsidRPr="00B13E0E">
        <w:rPr>
          <w:rFonts w:asciiTheme="minorHAnsi" w:hAnsiTheme="minorHAnsi"/>
          <w:b/>
          <w:bCs/>
          <w:color w:val="1F497D"/>
          <w:sz w:val="24"/>
        </w:rPr>
        <w:t>všeobecný rozpočet Únie</w:t>
      </w:r>
    </w:p>
    <w:p w14:paraId="64868439" w14:textId="77777777" w:rsidR="00994597" w:rsidRDefault="00994597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14:paraId="178B6549" w14:textId="77777777" w:rsidR="00195334" w:rsidRPr="0029715A" w:rsidRDefault="00195334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14:paraId="59B96E8B" w14:textId="77777777" w:rsidR="00195334" w:rsidRDefault="00F22518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Európska komisia zriadila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prevádzkuje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Systém včasného odhaľovania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rizika a vylúčených </w:t>
      </w:r>
      <w:r>
        <w:rPr>
          <w:rFonts w:asciiTheme="minorHAnsi" w:hAnsiTheme="minorHAnsi"/>
          <w:sz w:val="24"/>
          <w:szCs w:val="24"/>
        </w:rPr>
        <w:t xml:space="preserve"> </w:t>
      </w:r>
      <w:r w:rsidR="00484DD0">
        <w:rPr>
          <w:rFonts w:asciiTheme="minorHAnsi" w:hAnsiTheme="minorHAnsi"/>
          <w:sz w:val="24"/>
          <w:szCs w:val="24"/>
        </w:rPr>
        <w:t>s</w:t>
      </w:r>
      <w:r w:rsidRPr="00F22518">
        <w:rPr>
          <w:rFonts w:asciiTheme="minorHAnsi" w:hAnsiTheme="minorHAnsi"/>
          <w:sz w:val="24"/>
          <w:szCs w:val="24"/>
        </w:rPr>
        <w:t>ubjektov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–</w:t>
      </w:r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The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Early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Detection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and </w:t>
      </w:r>
      <w:proofErr w:type="spellStart"/>
      <w:r w:rsidRPr="00F22518">
        <w:rPr>
          <w:rFonts w:asciiTheme="minorHAnsi" w:hAnsiTheme="minorHAnsi"/>
          <w:sz w:val="24"/>
          <w:szCs w:val="24"/>
        </w:rPr>
        <w:t>Exclusion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System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(ďalej len „EDES databáza“), 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aby  posilnila  ochranu finančných záujmov Európskej únie. Od 1. januára 2016 EDES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databáza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nahrádza Systém včasného varovania  (</w:t>
      </w:r>
      <w:proofErr w:type="spellStart"/>
      <w:r w:rsidRPr="00F22518">
        <w:rPr>
          <w:rFonts w:asciiTheme="minorHAnsi" w:hAnsiTheme="minorHAnsi"/>
          <w:sz w:val="24"/>
          <w:szCs w:val="24"/>
        </w:rPr>
        <w:t>Early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Warning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System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EWS)  a  Centrálnu  databázu  vylúčených  subjektov  (</w:t>
      </w:r>
      <w:proofErr w:type="spellStart"/>
      <w:r w:rsidRPr="00F22518">
        <w:rPr>
          <w:rFonts w:asciiTheme="minorHAnsi" w:hAnsiTheme="minorHAnsi"/>
          <w:sz w:val="24"/>
          <w:szCs w:val="24"/>
        </w:rPr>
        <w:t>Central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Exclusion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Database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CED).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39D2C036" w14:textId="77777777" w:rsidR="00195334" w:rsidRDefault="00195334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14:paraId="4806F1B9" w14:textId="211230BE" w:rsidR="00195334" w:rsidRDefault="00F22518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Účelom EDES databázy je (1)</w:t>
      </w:r>
      <w:r w:rsidR="00444106">
        <w:rPr>
          <w:rFonts w:asciiTheme="minorHAnsi" w:hAnsiTheme="minorHAnsi"/>
          <w:sz w:val="24"/>
          <w:szCs w:val="24"/>
        </w:rPr>
        <w:t xml:space="preserve"> </w:t>
      </w:r>
      <w:r w:rsidR="00444106" w:rsidRPr="00444106">
        <w:rPr>
          <w:rFonts w:asciiTheme="minorHAnsi" w:hAnsiTheme="minorHAnsi"/>
          <w:sz w:val="24"/>
          <w:szCs w:val="24"/>
        </w:rPr>
        <w:t>včasné odhalenie osôb alebo subjektov uvedených v odseku 2</w:t>
      </w:r>
      <w:r w:rsidR="00444106">
        <w:rPr>
          <w:rFonts w:asciiTheme="minorHAnsi" w:hAnsiTheme="minorHAnsi"/>
          <w:sz w:val="24"/>
          <w:szCs w:val="24"/>
        </w:rPr>
        <w:t xml:space="preserve"> čl.</w:t>
      </w:r>
      <w:r w:rsidR="00846361">
        <w:rPr>
          <w:rFonts w:asciiTheme="minorHAnsi" w:hAnsiTheme="minorHAnsi"/>
          <w:sz w:val="24"/>
          <w:szCs w:val="24"/>
        </w:rPr>
        <w:t> </w:t>
      </w:r>
      <w:r w:rsidR="00444106">
        <w:rPr>
          <w:rFonts w:asciiTheme="minorHAnsi" w:hAnsiTheme="minorHAnsi"/>
          <w:sz w:val="24"/>
          <w:szCs w:val="24"/>
        </w:rPr>
        <w:t>137</w:t>
      </w:r>
      <w:r w:rsidR="00444106" w:rsidRPr="00444106">
        <w:rPr>
          <w:rFonts w:asciiTheme="minorHAnsi" w:hAnsiTheme="minorHAnsi"/>
          <w:sz w:val="24"/>
          <w:szCs w:val="24"/>
        </w:rPr>
        <w:t>, ktoré predstavujú riziko pre finančné záujmy Únie;</w:t>
      </w:r>
      <w:r w:rsidRPr="00F22518">
        <w:rPr>
          <w:rFonts w:asciiTheme="minorHAnsi" w:hAnsiTheme="minorHAnsi"/>
          <w:sz w:val="24"/>
          <w:szCs w:val="24"/>
        </w:rPr>
        <w:t xml:space="preserve">; (2) </w:t>
      </w:r>
      <w:r w:rsidR="00444106">
        <w:rPr>
          <w:rFonts w:asciiTheme="minorHAnsi" w:hAnsiTheme="minorHAnsi"/>
          <w:sz w:val="24"/>
          <w:szCs w:val="24"/>
        </w:rPr>
        <w:t>v</w:t>
      </w:r>
      <w:r w:rsidR="00444106" w:rsidRPr="00444106">
        <w:rPr>
          <w:rFonts w:asciiTheme="minorHAnsi" w:hAnsiTheme="minorHAnsi"/>
          <w:sz w:val="24"/>
          <w:szCs w:val="24"/>
        </w:rPr>
        <w:t>ylúčenie osôb alebo subjektov uvedených v odseku 2</w:t>
      </w:r>
      <w:r w:rsidR="00444106">
        <w:rPr>
          <w:rFonts w:asciiTheme="minorHAnsi" w:hAnsiTheme="minorHAnsi"/>
          <w:sz w:val="24"/>
          <w:szCs w:val="24"/>
        </w:rPr>
        <w:t xml:space="preserve"> čl. 137</w:t>
      </w:r>
      <w:r w:rsidR="00444106" w:rsidRPr="00444106">
        <w:rPr>
          <w:rFonts w:asciiTheme="minorHAnsi" w:hAnsiTheme="minorHAnsi"/>
          <w:sz w:val="24"/>
          <w:szCs w:val="24"/>
        </w:rPr>
        <w:t>, ktoré sa nachádzajú v jednej zo situácií vyžadujúcich si vylúčenie</w:t>
      </w:r>
      <w:r w:rsidR="00444106">
        <w:rPr>
          <w:rFonts w:asciiTheme="minorHAnsi" w:hAnsiTheme="minorHAnsi"/>
          <w:sz w:val="24"/>
          <w:szCs w:val="24"/>
        </w:rPr>
        <w:t xml:space="preserve"> </w:t>
      </w:r>
      <w:r w:rsidR="00444106" w:rsidRPr="00444106">
        <w:rPr>
          <w:rFonts w:asciiTheme="minorHAnsi" w:hAnsiTheme="minorHAnsi"/>
          <w:sz w:val="24"/>
          <w:szCs w:val="24"/>
        </w:rPr>
        <w:t>uvedených v článku 138 ods. 1</w:t>
      </w:r>
      <w:r w:rsidRPr="00F22518">
        <w:rPr>
          <w:rFonts w:asciiTheme="minorHAnsi" w:hAnsiTheme="minorHAnsi"/>
          <w:sz w:val="24"/>
          <w:szCs w:val="24"/>
        </w:rPr>
        <w:t>nariadenia  Európskeho  parlamentu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Rady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(EÚ,  </w:t>
      </w:r>
      <w:proofErr w:type="spellStart"/>
      <w:r w:rsidRPr="00F22518">
        <w:rPr>
          <w:rFonts w:asciiTheme="minorHAnsi" w:hAnsiTheme="minorHAnsi"/>
          <w:sz w:val="24"/>
          <w:szCs w:val="24"/>
        </w:rPr>
        <w:t>Euratom</w:t>
      </w:r>
      <w:proofErr w:type="spellEnd"/>
      <w:r w:rsidRPr="00F22518">
        <w:rPr>
          <w:rFonts w:asciiTheme="minorHAnsi" w:hAnsiTheme="minorHAnsi"/>
          <w:sz w:val="24"/>
          <w:szCs w:val="24"/>
        </w:rPr>
        <w:t>)  č.</w:t>
      </w:r>
      <w:r w:rsidR="00846361">
        <w:rPr>
          <w:rFonts w:asciiTheme="minorHAnsi" w:hAnsiTheme="minorHAnsi"/>
          <w:sz w:val="24"/>
          <w:szCs w:val="24"/>
        </w:rPr>
        <w:t> </w:t>
      </w:r>
      <w:r w:rsidR="00F33255">
        <w:rPr>
          <w:rFonts w:asciiTheme="minorHAnsi" w:hAnsiTheme="minorHAnsi"/>
          <w:sz w:val="24"/>
          <w:szCs w:val="24"/>
        </w:rPr>
        <w:t>2024/2509</w:t>
      </w:r>
      <w:r w:rsidRPr="00F22518">
        <w:rPr>
          <w:rFonts w:asciiTheme="minorHAnsi" w:hAnsiTheme="minorHAnsi"/>
          <w:sz w:val="24"/>
          <w:szCs w:val="24"/>
        </w:rPr>
        <w:t xml:space="preserve"> o rozpočtových pravidlách, ktoré sa vzťahujú na všeobecný rozpočet Únie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(ďalej len „nariadenie o rozpočtových pravidlách“)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a (3) ukladanie </w:t>
      </w:r>
      <w:r>
        <w:rPr>
          <w:rFonts w:asciiTheme="minorHAnsi" w:hAnsiTheme="minorHAnsi"/>
          <w:sz w:val="24"/>
          <w:szCs w:val="24"/>
        </w:rPr>
        <w:t>pe</w:t>
      </w:r>
      <w:r w:rsidRPr="00F22518">
        <w:rPr>
          <w:rFonts w:asciiTheme="minorHAnsi" w:hAnsiTheme="minorHAnsi"/>
          <w:sz w:val="24"/>
          <w:szCs w:val="24"/>
        </w:rPr>
        <w:t>ňažných sankcií</w:t>
      </w:r>
      <w:r w:rsidR="00F33255">
        <w:rPr>
          <w:rFonts w:asciiTheme="minorHAnsi" w:hAnsiTheme="minorHAnsi"/>
          <w:sz w:val="24"/>
          <w:szCs w:val="24"/>
        </w:rPr>
        <w:t xml:space="preserve"> príjemcovi finančných prostriedkov </w:t>
      </w:r>
      <w:r w:rsidRPr="00F22518">
        <w:rPr>
          <w:rFonts w:asciiTheme="minorHAnsi" w:hAnsiTheme="minorHAnsi"/>
          <w:sz w:val="24"/>
          <w:szCs w:val="24"/>
        </w:rPr>
        <w:t xml:space="preserve"> podľa článku 1</w:t>
      </w:r>
      <w:r w:rsidR="00F33255">
        <w:rPr>
          <w:rFonts w:asciiTheme="minorHAnsi" w:hAnsiTheme="minorHAnsi"/>
          <w:sz w:val="24"/>
          <w:szCs w:val="24"/>
        </w:rPr>
        <w:t xml:space="preserve">40 </w:t>
      </w:r>
      <w:r w:rsidRPr="00F22518">
        <w:rPr>
          <w:rFonts w:asciiTheme="minorHAnsi" w:hAnsiTheme="minorHAnsi"/>
          <w:sz w:val="24"/>
          <w:szCs w:val="24"/>
        </w:rPr>
        <w:t xml:space="preserve"> nariadenia o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rozpočtových pravidlách.</w:t>
      </w:r>
    </w:p>
    <w:p w14:paraId="4D742CB5" w14:textId="4ED4C48B" w:rsidR="00195334" w:rsidRDefault="00F22518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Žiadatelia o nenávrat</w:t>
      </w:r>
      <w:r>
        <w:rPr>
          <w:rFonts w:asciiTheme="minorHAnsi" w:hAnsiTheme="minorHAnsi"/>
          <w:sz w:val="24"/>
          <w:szCs w:val="24"/>
        </w:rPr>
        <w:t>n</w:t>
      </w:r>
      <w:r w:rsidRPr="00F22518">
        <w:rPr>
          <w:rFonts w:asciiTheme="minorHAnsi" w:hAnsiTheme="minorHAnsi"/>
          <w:sz w:val="24"/>
          <w:szCs w:val="24"/>
        </w:rPr>
        <w:t>ý finančný príspevok, resp.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o príspevok sú </w:t>
      </w:r>
      <w:r w:rsidR="00195334">
        <w:rPr>
          <w:rFonts w:asciiTheme="minorHAnsi" w:hAnsiTheme="minorHAnsi"/>
          <w:sz w:val="24"/>
          <w:szCs w:val="24"/>
        </w:rPr>
        <w:t>tý</w:t>
      </w:r>
      <w:r w:rsidRPr="00F22518">
        <w:rPr>
          <w:rFonts w:asciiTheme="minorHAnsi" w:hAnsiTheme="minorHAnsi"/>
          <w:sz w:val="24"/>
          <w:szCs w:val="24"/>
        </w:rPr>
        <w:t xml:space="preserve">mto informovaní, že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v prípade, ak sa ocitnú v niektorej zo situácií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uvedených v  čl. </w:t>
      </w:r>
      <w:r w:rsidR="00444106">
        <w:rPr>
          <w:rFonts w:asciiTheme="minorHAnsi" w:hAnsiTheme="minorHAnsi"/>
          <w:sz w:val="24"/>
          <w:szCs w:val="24"/>
        </w:rPr>
        <w:t xml:space="preserve">138 </w:t>
      </w:r>
      <w:r w:rsidRPr="00F22518">
        <w:rPr>
          <w:rFonts w:asciiTheme="minorHAnsi" w:hAnsiTheme="minorHAnsi"/>
          <w:sz w:val="24"/>
          <w:szCs w:val="24"/>
        </w:rPr>
        <w:t xml:space="preserve"> ods. 1 nariadenia o</w:t>
      </w:r>
      <w:r w:rsidR="00846361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rozpočtových pravidlách, tak ich údaje  môžu byť registrované  v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EDES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databáze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a môžu byť oznámené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oprávneným osobám a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inštitúciám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 súvislosti s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možnosťou </w:t>
      </w:r>
      <w:r w:rsidR="00195334">
        <w:rPr>
          <w:rFonts w:asciiTheme="minorHAnsi" w:hAnsiTheme="minorHAnsi"/>
          <w:sz w:val="24"/>
          <w:szCs w:val="24"/>
        </w:rPr>
        <w:t>p</w:t>
      </w:r>
      <w:r w:rsidRPr="00F22518">
        <w:rPr>
          <w:rFonts w:asciiTheme="minorHAnsi" w:hAnsiTheme="minorHAnsi"/>
          <w:sz w:val="24"/>
          <w:szCs w:val="24"/>
        </w:rPr>
        <w:t>oskytnutia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finančných prostriedkov z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rozpočtu Európskej únie.</w:t>
      </w:r>
      <w:r w:rsidR="00195334">
        <w:rPr>
          <w:rFonts w:asciiTheme="minorHAnsi" w:hAnsiTheme="minorHAnsi"/>
          <w:sz w:val="24"/>
          <w:szCs w:val="24"/>
        </w:rPr>
        <w:t xml:space="preserve"> </w:t>
      </w:r>
    </w:p>
    <w:p w14:paraId="7CE4082C" w14:textId="77777777" w:rsidR="00195334" w:rsidRDefault="00195334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14:paraId="531A79D1" w14:textId="6D1AC88C" w:rsidR="0029715A" w:rsidRPr="00163207" w:rsidRDefault="00F22518" w:rsidP="00163207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Právnické  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fyzické  osoby  si  môžu zároveň  uplatňovať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svoje  práva  vyplývajúce 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z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nariadenia Európskeho parlamentu a Rady (ES) č. </w:t>
      </w:r>
      <w:r w:rsidR="00444106">
        <w:rPr>
          <w:rFonts w:asciiTheme="minorHAnsi" w:hAnsiTheme="minorHAnsi"/>
          <w:sz w:val="24"/>
          <w:szCs w:val="24"/>
        </w:rPr>
        <w:t xml:space="preserve">2018/1725 </w:t>
      </w:r>
      <w:r w:rsidRPr="00F22518">
        <w:rPr>
          <w:rFonts w:asciiTheme="minorHAnsi" w:hAnsiTheme="minorHAnsi"/>
          <w:sz w:val="24"/>
          <w:szCs w:val="24"/>
        </w:rPr>
        <w:t xml:space="preserve"> z</w:t>
      </w:r>
      <w:r w:rsidR="00444106">
        <w:rPr>
          <w:rFonts w:asciiTheme="minorHAnsi" w:hAnsiTheme="minorHAnsi"/>
          <w:sz w:val="24"/>
          <w:szCs w:val="24"/>
        </w:rPr>
        <w:t xml:space="preserve"> 23 </w:t>
      </w:r>
      <w:r w:rsidRPr="00F22518">
        <w:rPr>
          <w:rFonts w:asciiTheme="minorHAnsi" w:hAnsiTheme="minorHAnsi"/>
          <w:sz w:val="24"/>
          <w:szCs w:val="24"/>
        </w:rPr>
        <w:t>.</w:t>
      </w:r>
      <w:r w:rsidR="00444106">
        <w:rPr>
          <w:rFonts w:asciiTheme="minorHAnsi" w:hAnsiTheme="minorHAnsi"/>
          <w:sz w:val="24"/>
          <w:szCs w:val="24"/>
        </w:rPr>
        <w:t xml:space="preserve"> októbra</w:t>
      </w:r>
      <w:r w:rsidRPr="00F22518">
        <w:rPr>
          <w:rFonts w:asciiTheme="minorHAnsi" w:hAnsiTheme="minorHAnsi"/>
          <w:sz w:val="24"/>
          <w:szCs w:val="24"/>
        </w:rPr>
        <w:t xml:space="preserve"> </w:t>
      </w:r>
      <w:r w:rsidR="00444106">
        <w:rPr>
          <w:rFonts w:asciiTheme="minorHAnsi" w:hAnsiTheme="minorHAnsi"/>
          <w:sz w:val="24"/>
          <w:szCs w:val="24"/>
        </w:rPr>
        <w:t xml:space="preserve">2018 </w:t>
      </w:r>
      <w:r w:rsidRPr="00F22518">
        <w:rPr>
          <w:rFonts w:asciiTheme="minorHAnsi" w:hAnsiTheme="minorHAnsi"/>
          <w:sz w:val="24"/>
          <w:szCs w:val="24"/>
        </w:rPr>
        <w:t xml:space="preserve"> </w:t>
      </w:r>
      <w:r w:rsidR="00163207" w:rsidRPr="00163207">
        <w:rPr>
          <w:rFonts w:asciiTheme="minorHAnsi" w:hAnsiTheme="minorHAnsi"/>
          <w:sz w:val="24"/>
          <w:szCs w:val="24"/>
        </w:rPr>
        <w:t>o ochrane fyzických osôb pri spracúvaní osobných údajov inštitúciami, orgánmi, úradmi</w:t>
      </w:r>
      <w:r w:rsidR="00163207">
        <w:rPr>
          <w:rFonts w:asciiTheme="minorHAnsi" w:hAnsiTheme="minorHAnsi"/>
          <w:sz w:val="24"/>
          <w:szCs w:val="24"/>
        </w:rPr>
        <w:t xml:space="preserve"> </w:t>
      </w:r>
      <w:r w:rsidR="00163207" w:rsidRPr="00163207">
        <w:rPr>
          <w:rFonts w:asciiTheme="minorHAnsi" w:hAnsiTheme="minorHAnsi"/>
          <w:sz w:val="24"/>
          <w:szCs w:val="24"/>
        </w:rPr>
        <w:t>a agentúrami Únie a o voľnom pohybe takýchto údajov, ktorým sa zrušuje nariadenie (ES) č. 45/2001</w:t>
      </w:r>
      <w:r w:rsidR="00163207">
        <w:rPr>
          <w:rFonts w:asciiTheme="minorHAnsi" w:hAnsiTheme="minorHAnsi"/>
          <w:sz w:val="24"/>
          <w:szCs w:val="24"/>
        </w:rPr>
        <w:t xml:space="preserve"> </w:t>
      </w:r>
      <w:r w:rsidR="00163207" w:rsidRPr="00163207">
        <w:rPr>
          <w:rFonts w:asciiTheme="minorHAnsi" w:hAnsiTheme="minorHAnsi"/>
          <w:sz w:val="24"/>
          <w:szCs w:val="24"/>
        </w:rPr>
        <w:t>a rozhodnutie č. 1247/2002/ES</w:t>
      </w:r>
      <w:r w:rsidR="00163207">
        <w:rPr>
          <w:rFonts w:asciiTheme="minorHAnsi" w:hAnsiTheme="minorHAnsi"/>
          <w:sz w:val="24"/>
          <w:szCs w:val="24"/>
        </w:rPr>
        <w:t xml:space="preserve"> a nariadenia Európskeho parlamentu a Rady </w:t>
      </w:r>
      <w:r w:rsidRPr="00F22518">
        <w:rPr>
          <w:rFonts w:asciiTheme="minorHAnsi" w:hAnsiTheme="minorHAnsi"/>
          <w:sz w:val="24"/>
          <w:szCs w:val="24"/>
        </w:rPr>
        <w:t>(EÚ) 679/2016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</w:t>
      </w:r>
      <w:r w:rsidR="00846361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27.</w:t>
      </w:r>
      <w:r w:rsidR="00846361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apríla 2016 o ochrane fyzických osôb pri spracúvaní osobných údajov a o voľnom pohybe takýchto údajov, ktorým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sa zrušuje smernica 95/46/ES (všeobecné nariadenie o ochrane údajov).</w:t>
      </w:r>
      <w:r w:rsidR="000C66B3">
        <w:rPr>
          <w:rFonts w:asciiTheme="minorHAnsi" w:hAnsiTheme="minorHAnsi"/>
          <w:sz w:val="24"/>
          <w:szCs w:val="24"/>
        </w:rPr>
        <w:t xml:space="preserve"> </w:t>
      </w:r>
    </w:p>
    <w:p w14:paraId="39C02E41" w14:textId="77777777" w:rsidR="0029715A" w:rsidRPr="0029715A" w:rsidRDefault="0029715A" w:rsidP="0029715A">
      <w:pPr>
        <w:rPr>
          <w:rFonts w:asciiTheme="minorHAnsi" w:hAnsiTheme="minorHAnsi"/>
          <w:sz w:val="24"/>
        </w:rPr>
      </w:pPr>
    </w:p>
    <w:p w14:paraId="1CBB3999" w14:textId="77777777" w:rsidR="0029715A" w:rsidRDefault="0029715A" w:rsidP="0029715A">
      <w:pPr>
        <w:rPr>
          <w:rFonts w:asciiTheme="minorHAnsi" w:hAnsiTheme="minorHAnsi"/>
          <w:sz w:val="24"/>
        </w:rPr>
      </w:pPr>
    </w:p>
    <w:p w14:paraId="559D6F15" w14:textId="77777777" w:rsidR="004B722B" w:rsidRPr="0029715A" w:rsidRDefault="0029715A" w:rsidP="0029715A">
      <w:pPr>
        <w:tabs>
          <w:tab w:val="left" w:pos="3310"/>
        </w:tabs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</w:p>
    <w:sectPr w:rsidR="004B722B" w:rsidRPr="0029715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0066A" w14:textId="77777777" w:rsidR="004F17B9" w:rsidRDefault="004F17B9" w:rsidP="00994597">
      <w:r>
        <w:separator/>
      </w:r>
    </w:p>
  </w:endnote>
  <w:endnote w:type="continuationSeparator" w:id="0">
    <w:p w14:paraId="7C3F3EC0" w14:textId="77777777" w:rsidR="004F17B9" w:rsidRDefault="004F17B9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C71B1" w14:textId="09013526" w:rsidR="009A0829" w:rsidRDefault="00D91FA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609DD1" wp14:editId="5E6FB39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A15419" w14:textId="0023F6C9" w:rsidR="00D91FAE" w:rsidRPr="00D91FAE" w:rsidRDefault="00D91FAE">
                          <w:pPr>
                            <w:rPr>
                              <w:rFonts w:eastAsia="Calibri" w:cs="Calibri"/>
                              <w:noProof/>
                              <w:color w:val="008000"/>
                            </w:rPr>
                          </w:pPr>
                          <w:r w:rsidRPr="00D91FAE">
                            <w:rPr>
                              <w:rFonts w:eastAsia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609DD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left:0;text-align:left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18A15419" w14:textId="0023F6C9" w:rsidR="00D91FAE" w:rsidRPr="00D91FAE" w:rsidRDefault="00D91FAE">
                    <w:pPr>
                      <w:rPr>
                        <w:rFonts w:eastAsia="Calibri" w:cs="Calibri"/>
                        <w:noProof/>
                        <w:color w:val="008000"/>
                      </w:rPr>
                    </w:pPr>
                    <w:r w:rsidRPr="00D91FAE">
                      <w:rPr>
                        <w:rFonts w:eastAsia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5EE02" w14:textId="7B315BC9" w:rsidR="009A0829" w:rsidRDefault="00D91FA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F9B23BC" wp14:editId="2AE7D4AE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D7385D" w14:textId="5384F524" w:rsidR="00D91FAE" w:rsidRPr="00D91FAE" w:rsidRDefault="00D91FAE">
                          <w:pPr>
                            <w:rPr>
                              <w:rFonts w:eastAsia="Calibri" w:cs="Calibri"/>
                              <w:noProof/>
                              <w:color w:val="008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9B23B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left:0;text-align:left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65D7385D" w14:textId="5384F524" w:rsidR="00D91FAE" w:rsidRPr="00D91FAE" w:rsidRDefault="00D91FAE">
                    <w:pPr>
                      <w:rPr>
                        <w:rFonts w:eastAsia="Calibri" w:cs="Calibri"/>
                        <w:noProof/>
                        <w:color w:val="00800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872D2" w14:textId="304A1D27" w:rsidR="009A0829" w:rsidRDefault="00D91FA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4D1D6A" wp14:editId="7268691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AF32B3" w14:textId="4F38BA51" w:rsidR="00D91FAE" w:rsidRPr="00D91FAE" w:rsidRDefault="00D91FAE">
                          <w:pPr>
                            <w:rPr>
                              <w:rFonts w:eastAsia="Calibri" w:cs="Calibri"/>
                              <w:noProof/>
                              <w:color w:val="008000"/>
                            </w:rPr>
                          </w:pPr>
                          <w:r w:rsidRPr="00D91FAE">
                            <w:rPr>
                              <w:rFonts w:eastAsia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D1D6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left:0;text-align:left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0FAF32B3" w14:textId="4F38BA51" w:rsidR="00D91FAE" w:rsidRPr="00D91FAE" w:rsidRDefault="00D91FAE">
                    <w:pPr>
                      <w:rPr>
                        <w:rFonts w:eastAsia="Calibri" w:cs="Calibri"/>
                        <w:noProof/>
                        <w:color w:val="008000"/>
                      </w:rPr>
                    </w:pPr>
                    <w:r w:rsidRPr="00D91FAE">
                      <w:rPr>
                        <w:rFonts w:eastAsia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DD429" w14:textId="77777777" w:rsidR="004F17B9" w:rsidRDefault="004F17B9" w:rsidP="00994597">
      <w:r>
        <w:separator/>
      </w:r>
    </w:p>
  </w:footnote>
  <w:footnote w:type="continuationSeparator" w:id="0">
    <w:p w14:paraId="251763FF" w14:textId="77777777" w:rsidR="004F17B9" w:rsidRDefault="004F17B9" w:rsidP="00994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CDFDB" w14:textId="77777777" w:rsidR="0029715A" w:rsidRPr="00D14EE0" w:rsidRDefault="0029715A" w:rsidP="0029715A">
    <w:pPr>
      <w:pStyle w:val="Hlavika"/>
      <w:ind w:firstLine="0"/>
      <w:rPr>
        <w:b/>
        <w:sz w:val="20"/>
      </w:rPr>
    </w:pPr>
    <w:r w:rsidRPr="00D14EE0">
      <w:rPr>
        <w:b/>
        <w:sz w:val="20"/>
      </w:rPr>
      <w:t xml:space="preserve">Príloha č. 3 </w:t>
    </w:r>
    <w:r w:rsidR="009A0829" w:rsidRPr="00D14EE0">
      <w:rPr>
        <w:b/>
        <w:sz w:val="20"/>
      </w:rPr>
      <w:t>k Výzve na predkladanie ŽoNFP</w:t>
    </w:r>
  </w:p>
  <w:p w14:paraId="0104AC87" w14:textId="77777777" w:rsidR="0029715A" w:rsidRDefault="0029715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597"/>
    <w:rsid w:val="00033DA3"/>
    <w:rsid w:val="000C66B3"/>
    <w:rsid w:val="00163207"/>
    <w:rsid w:val="00195334"/>
    <w:rsid w:val="001A4420"/>
    <w:rsid w:val="00202A1E"/>
    <w:rsid w:val="00266442"/>
    <w:rsid w:val="0029715A"/>
    <w:rsid w:val="0030684C"/>
    <w:rsid w:val="00321411"/>
    <w:rsid w:val="00444106"/>
    <w:rsid w:val="00484DD0"/>
    <w:rsid w:val="004B722B"/>
    <w:rsid w:val="004F17B9"/>
    <w:rsid w:val="005B7D64"/>
    <w:rsid w:val="0065423F"/>
    <w:rsid w:val="0065722B"/>
    <w:rsid w:val="006A69D7"/>
    <w:rsid w:val="00746F8F"/>
    <w:rsid w:val="00846361"/>
    <w:rsid w:val="0089589E"/>
    <w:rsid w:val="009325EA"/>
    <w:rsid w:val="00994597"/>
    <w:rsid w:val="009A0829"/>
    <w:rsid w:val="00A77910"/>
    <w:rsid w:val="00AA4B49"/>
    <w:rsid w:val="00AB5B0D"/>
    <w:rsid w:val="00B13E0E"/>
    <w:rsid w:val="00C12D89"/>
    <w:rsid w:val="00C7086C"/>
    <w:rsid w:val="00C7298E"/>
    <w:rsid w:val="00CC591D"/>
    <w:rsid w:val="00CF7B81"/>
    <w:rsid w:val="00D14EE0"/>
    <w:rsid w:val="00D6032E"/>
    <w:rsid w:val="00D91FAE"/>
    <w:rsid w:val="00DF257B"/>
    <w:rsid w:val="00E47900"/>
    <w:rsid w:val="00E71E8F"/>
    <w:rsid w:val="00EB5C07"/>
    <w:rsid w:val="00EC22C3"/>
    <w:rsid w:val="00F020DD"/>
    <w:rsid w:val="00F22518"/>
    <w:rsid w:val="00F33255"/>
    <w:rsid w:val="00F62151"/>
    <w:rsid w:val="00F73FA0"/>
    <w:rsid w:val="00FF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EC138"/>
  <w15:docId w15:val="{1E41D426-DE57-43B3-8B56-9211F6AC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971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715A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971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715A"/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225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2251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22518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251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2518"/>
    <w:rPr>
      <w:rFonts w:ascii="Calibri" w:eastAsia="Times New Roman" w:hAnsi="Calibri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25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251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Valentová Lenka</cp:lastModifiedBy>
  <cp:revision>4</cp:revision>
  <cp:lastPrinted>2015-11-11T09:03:00Z</cp:lastPrinted>
  <dcterms:created xsi:type="dcterms:W3CDTF">2025-02-10T06:18:00Z</dcterms:created>
  <dcterms:modified xsi:type="dcterms:W3CDTF">2025-07-07T09:59:00Z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2024-10-30T09:31:30Z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7487690c-a5db-433d-9810-b1eb90130751</vt:lpwstr>
  </property>
  <property fmtid="{D5CDD505-2E9C-101B-9397-08002B2CF9AE}" pid="11" name="MSIP_Label_54743a8a-75f7-4ac9-9741-a35bd0337f21_ContentBits">
    <vt:lpwstr>2</vt:lpwstr>
  </property>
</Properties>
</file>