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5386"/>
        <w:gridCol w:w="852"/>
        <w:gridCol w:w="1181"/>
        <w:gridCol w:w="1275"/>
        <w:gridCol w:w="1276"/>
        <w:gridCol w:w="946"/>
        <w:gridCol w:w="991"/>
      </w:tblGrid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0" w:type="dxa"/>
            <w:gridSpan w:val="8"/>
            <w:shd w:val="clear" w:color="auto" w:fill="365F91" w:themeFill="accent1" w:themeFillShade="BF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0F295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2 Podpora akvakultúry, ktorá je environmentálne udržateľná, efektívne využíva zdroje, je inovačná, konkurencieschopná a založená na znalostiach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2"/>
              <w:outlineLvl w:val="1"/>
              <w:rPr>
                <w:rFonts w:asciiTheme="minorHAnsi" w:hAnsiTheme="minorHAnsi" w:cs="Times New Roman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sz w:val="16"/>
                <w:szCs w:val="16"/>
              </w:rPr>
              <w:t>Konkrétny cieľ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 Zlepšenie konkurencieschopnosti a životaschopnosti podnikov akvakultúry, vrátane zlepšenia bezpečnostných a pracovných podmienok, najmä v MSP</w:t>
            </w:r>
          </w:p>
        </w:tc>
      </w:tr>
      <w:tr w:rsidR="001023DC" w:rsidRPr="000F2953" w:rsidTr="00F67FA6">
        <w:tc>
          <w:tcPr>
            <w:tcW w:w="1277" w:type="dxa"/>
            <w:shd w:val="clear" w:color="auto" w:fill="365F91" w:themeFill="accent1" w:themeFillShade="BF"/>
          </w:tcPr>
          <w:p w:rsidR="001023DC" w:rsidRPr="000F2953" w:rsidRDefault="001023DC" w:rsidP="00F67FA6">
            <w:pPr>
              <w:pStyle w:val="Nadpis1"/>
              <w:outlineLvl w:val="0"/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</w:pPr>
            <w:r w:rsidRPr="000F2953">
              <w:rPr>
                <w:rFonts w:asciiTheme="minorHAnsi" w:hAnsiTheme="minorHAnsi" w:cs="Times New Roman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0" w:type="dxa"/>
            <w:gridSpan w:val="8"/>
            <w:shd w:val="clear" w:color="auto" w:fill="FFFFFF" w:themeFill="background1"/>
          </w:tcPr>
          <w:p w:rsidR="001023DC" w:rsidRPr="000F2953" w:rsidRDefault="001023DC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2.2.1 Produktívne investície do akvakultúry (čl. 48.1.a, c, d, f, g, h)</w:t>
            </w:r>
          </w:p>
        </w:tc>
      </w:tr>
      <w:tr w:rsidR="001023DC" w:rsidRPr="000F2953" w:rsidTr="00F67FA6">
        <w:tc>
          <w:tcPr>
            <w:tcW w:w="15877" w:type="dxa"/>
            <w:gridSpan w:val="9"/>
          </w:tcPr>
          <w:p w:rsidR="001023DC" w:rsidRPr="000F2953" w:rsidRDefault="001023DC" w:rsidP="00F67FA6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CF7AB4" w:rsidRPr="000F2953" w:rsidTr="00F67FA6">
        <w:tc>
          <w:tcPr>
            <w:tcW w:w="1277" w:type="dxa"/>
            <w:shd w:val="clear" w:color="auto" w:fill="95B3D7" w:themeFill="accent1" w:themeFillTint="99"/>
            <w:vAlign w:val="center"/>
          </w:tcPr>
          <w:p w:rsidR="00CF7AB4" w:rsidRPr="00A61D46" w:rsidRDefault="00CF7AB4" w:rsidP="00F67FA6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61D46">
              <w:rPr>
                <w:rFonts w:cs="Times New Roman"/>
                <w:b/>
                <w:sz w:val="16"/>
                <w:szCs w:val="16"/>
              </w:rPr>
              <w:t>Aktivita</w:t>
            </w:r>
          </w:p>
        </w:tc>
        <w:tc>
          <w:tcPr>
            <w:tcW w:w="14600" w:type="dxa"/>
            <w:gridSpan w:val="8"/>
            <w:shd w:val="clear" w:color="auto" w:fill="95B3D7" w:themeFill="accent1" w:themeFillTint="99"/>
          </w:tcPr>
          <w:p w:rsidR="00CF7AB4" w:rsidRPr="000F2953" w:rsidRDefault="00CF7AB4" w:rsidP="00F67FA6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0F2953">
              <w:rPr>
                <w:rFonts w:cs="Times New Roman"/>
                <w:b/>
                <w:sz w:val="16"/>
                <w:szCs w:val="16"/>
              </w:rPr>
              <w:t>6  Doplnkové činnosti</w:t>
            </w:r>
          </w:p>
        </w:tc>
      </w:tr>
      <w:tr w:rsidR="00CF7AB4" w:rsidRPr="000F2953" w:rsidTr="00F67FA6">
        <w:tc>
          <w:tcPr>
            <w:tcW w:w="15877" w:type="dxa"/>
            <w:gridSpan w:val="9"/>
          </w:tcPr>
          <w:p w:rsidR="00CF7AB4" w:rsidRPr="00A61D46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F7AB4" w:rsidRPr="000F2953" w:rsidTr="00F67FA6">
        <w:tc>
          <w:tcPr>
            <w:tcW w:w="1277" w:type="dxa"/>
            <w:shd w:val="clear" w:color="auto" w:fill="DBE5F1" w:themeFill="accent1" w:themeFillTint="33"/>
            <w:vAlign w:val="center"/>
          </w:tcPr>
          <w:p w:rsidR="00CF7AB4" w:rsidRPr="00A61D46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Kód ukazovateľa v ITMS2014+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Názov ukazovateľa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Definícia/metóda výpočtu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Merná jednotka</w:t>
            </w:r>
          </w:p>
        </w:tc>
        <w:tc>
          <w:tcPr>
            <w:tcW w:w="1181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Čas plnenia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Preukazovanie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Následné monitorovanie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Príznak rizika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Relevancia k HP</w:t>
            </w:r>
          </w:p>
        </w:tc>
      </w:tr>
      <w:tr w:rsidR="00CF7AB4" w:rsidRPr="000F2953" w:rsidTr="00F67FA6">
        <w:tc>
          <w:tcPr>
            <w:tcW w:w="1277" w:type="dxa"/>
            <w:vAlign w:val="center"/>
          </w:tcPr>
          <w:p w:rsidR="00CF7AB4" w:rsidRPr="00A61D46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P0805</w:t>
            </w:r>
          </w:p>
        </w:tc>
        <w:tc>
          <w:tcPr>
            <w:tcW w:w="2693" w:type="dxa"/>
            <w:vAlign w:val="center"/>
          </w:tcPr>
          <w:p w:rsidR="00CF7AB4" w:rsidRPr="000F2953" w:rsidRDefault="00CF7AB4" w:rsidP="00F67FA6">
            <w:pPr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zrealizovaných stavebných investícií / výstup</w:t>
            </w:r>
          </w:p>
        </w:tc>
        <w:tc>
          <w:tcPr>
            <w:tcW w:w="5386" w:type="dxa"/>
            <w:vAlign w:val="center"/>
          </w:tcPr>
          <w:p w:rsidR="00CF7AB4" w:rsidRPr="000F2953" w:rsidRDefault="00CF7AB4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stavebných investícií zrealizovaných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CF7AB4" w:rsidRDefault="00CF7AB4" w:rsidP="00F67FA6">
            <w:pPr>
              <w:jc w:val="center"/>
            </w:pPr>
            <w:r w:rsidRPr="00CC013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CF7AB4" w:rsidRPr="000F2953" w:rsidRDefault="00CF7AB4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CF7AB4" w:rsidRPr="000F2953" w:rsidRDefault="00CF7AB4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A402F">
              <w:rPr>
                <w:rFonts w:cs="Times New Roman"/>
                <w:sz w:val="16"/>
                <w:szCs w:val="16"/>
              </w:rPr>
              <w:t>HP RM</w:t>
            </w:r>
            <w:bookmarkStart w:id="0" w:name="_GoBack"/>
            <w:bookmarkEnd w:id="0"/>
            <w:r w:rsidRPr="005A402F">
              <w:rPr>
                <w:rFonts w:cs="Times New Roman"/>
                <w:sz w:val="16"/>
                <w:szCs w:val="16"/>
              </w:rPr>
              <w:t>Ž a ND HP UR</w:t>
            </w:r>
          </w:p>
        </w:tc>
      </w:tr>
      <w:tr w:rsidR="00CF7AB4" w:rsidRPr="000F2953" w:rsidTr="00F67FA6">
        <w:tc>
          <w:tcPr>
            <w:tcW w:w="1277" w:type="dxa"/>
            <w:vAlign w:val="center"/>
          </w:tcPr>
          <w:p w:rsidR="00CF7AB4" w:rsidRPr="00A61D46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1D46">
              <w:rPr>
                <w:rFonts w:cs="Times New Roman"/>
                <w:sz w:val="16"/>
                <w:szCs w:val="16"/>
              </w:rPr>
              <w:t>P0814</w:t>
            </w:r>
          </w:p>
        </w:tc>
        <w:tc>
          <w:tcPr>
            <w:tcW w:w="2693" w:type="dxa"/>
            <w:vAlign w:val="center"/>
          </w:tcPr>
          <w:p w:rsidR="00CF7AB4" w:rsidRPr="000F2953" w:rsidRDefault="00CF7AB4" w:rsidP="00F67FA6">
            <w:pPr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Počet obstaraných zariadení / výstup</w:t>
            </w:r>
          </w:p>
        </w:tc>
        <w:tc>
          <w:tcPr>
            <w:tcW w:w="5386" w:type="dxa"/>
            <w:vAlign w:val="center"/>
          </w:tcPr>
          <w:p w:rsidR="00CF7AB4" w:rsidRPr="000F2953" w:rsidRDefault="00CF7AB4" w:rsidP="00F67FA6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0F2953">
              <w:rPr>
                <w:rFonts w:cs="Arial"/>
                <w:sz w:val="16"/>
                <w:szCs w:val="16"/>
              </w:rPr>
              <w:t>Počet zariadení obstaraných podporeným subjektom v nadväznosti na realizáciu projektu.</w:t>
            </w:r>
          </w:p>
        </w:tc>
        <w:tc>
          <w:tcPr>
            <w:tcW w:w="852" w:type="dxa"/>
            <w:vAlign w:val="center"/>
          </w:tcPr>
          <w:p w:rsidR="00CF7AB4" w:rsidRDefault="00CF7AB4" w:rsidP="00F67FA6">
            <w:pPr>
              <w:jc w:val="center"/>
            </w:pPr>
            <w:r w:rsidRPr="00CC0130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181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ku dňu ukončenia aktivity</w:t>
            </w:r>
          </w:p>
        </w:tc>
        <w:tc>
          <w:tcPr>
            <w:tcW w:w="1275" w:type="dxa"/>
            <w:vAlign w:val="center"/>
          </w:tcPr>
          <w:p w:rsidR="00CF7AB4" w:rsidRPr="000F2953" w:rsidRDefault="00CF7AB4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276" w:type="dxa"/>
            <w:vAlign w:val="center"/>
          </w:tcPr>
          <w:p w:rsidR="00CF7AB4" w:rsidRPr="000F2953" w:rsidRDefault="00CF7AB4" w:rsidP="00F67FA6">
            <w:pPr>
              <w:jc w:val="center"/>
              <w:rPr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počas obdobia udržateľnosti projektu</w:t>
            </w:r>
          </w:p>
        </w:tc>
        <w:tc>
          <w:tcPr>
            <w:tcW w:w="946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bez príznaku</w:t>
            </w:r>
          </w:p>
        </w:tc>
        <w:tc>
          <w:tcPr>
            <w:tcW w:w="991" w:type="dxa"/>
            <w:vAlign w:val="center"/>
          </w:tcPr>
          <w:p w:rsidR="00CF7AB4" w:rsidRPr="000F2953" w:rsidRDefault="00CF7AB4" w:rsidP="00F67F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F2953">
              <w:rPr>
                <w:rFonts w:cs="Times New Roman"/>
                <w:sz w:val="16"/>
                <w:szCs w:val="16"/>
              </w:rPr>
              <w:t>HP UR, HP RMŽ a ND</w:t>
            </w:r>
          </w:p>
        </w:tc>
      </w:tr>
    </w:tbl>
    <w:p w:rsidR="001023DC" w:rsidRDefault="001023DC"/>
    <w:sectPr w:rsidR="001023DC" w:rsidSect="00492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53" w:rsidRDefault="00696253" w:rsidP="00D16893">
      <w:pPr>
        <w:spacing w:after="0" w:line="240" w:lineRule="auto"/>
      </w:pPr>
      <w:r>
        <w:separator/>
      </w:r>
    </w:p>
  </w:endnote>
  <w:endnote w:type="continuationSeparator" w:id="0">
    <w:p w:rsidR="00696253" w:rsidRDefault="00696253" w:rsidP="00D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53" w:rsidRDefault="00696253" w:rsidP="00D16893">
      <w:pPr>
        <w:spacing w:after="0" w:line="240" w:lineRule="auto"/>
      </w:pPr>
      <w:r>
        <w:separator/>
      </w:r>
    </w:p>
  </w:footnote>
  <w:footnote w:type="continuationSeparator" w:id="0">
    <w:p w:rsidR="00696253" w:rsidRDefault="00696253" w:rsidP="00D1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93" w:rsidRPr="004D5712" w:rsidRDefault="00D16893" w:rsidP="00D16893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 w:rsidR="00D01554">
      <w:rPr>
        <w:sz w:val="16"/>
        <w:szCs w:val="16"/>
      </w:rPr>
      <w:t>výzve</w:t>
    </w:r>
  </w:p>
  <w:p w:rsidR="00D16893" w:rsidRPr="00A92B61" w:rsidRDefault="00D16893" w:rsidP="00D16893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7E910ECE" wp14:editId="1DF1E8C1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 w:rsidR="00AF39D3">
      <w:rPr>
        <w:noProof/>
        <w:sz w:val="14"/>
      </w:rPr>
      <w:tab/>
    </w:r>
    <w:r w:rsidR="00AF39D3">
      <w:rPr>
        <w:noProof/>
        <w:sz w:val="14"/>
      </w:rPr>
      <w:tab/>
    </w:r>
    <w:r>
      <w:rPr>
        <w:noProof/>
        <w:sz w:val="14"/>
      </w:rPr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647AE796" wp14:editId="5A135D87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33F7DD6F" wp14:editId="46F6B98D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D16893" w:rsidRPr="00E00DE4" w:rsidRDefault="00D16893" w:rsidP="00D16893">
    <w:pPr>
      <w:pStyle w:val="Hlavika"/>
      <w:rPr>
        <w:sz w:val="18"/>
      </w:rPr>
    </w:pPr>
  </w:p>
  <w:p w:rsidR="00D16893" w:rsidRDefault="00D168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54" w:rsidRDefault="00D015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C6A"/>
    <w:multiLevelType w:val="hybridMultilevel"/>
    <w:tmpl w:val="7CC4CE76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9D5"/>
    <w:multiLevelType w:val="hybridMultilevel"/>
    <w:tmpl w:val="99F4C90C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1C9"/>
    <w:multiLevelType w:val="hybridMultilevel"/>
    <w:tmpl w:val="FBBAB054"/>
    <w:lvl w:ilvl="0" w:tplc="87EE4E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188A"/>
    <w:multiLevelType w:val="hybridMultilevel"/>
    <w:tmpl w:val="2D64DBC2"/>
    <w:lvl w:ilvl="0" w:tplc="C248B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F"/>
    <w:rsid w:val="000E701D"/>
    <w:rsid w:val="001023DC"/>
    <w:rsid w:val="001201EE"/>
    <w:rsid w:val="001E6C46"/>
    <w:rsid w:val="001F659E"/>
    <w:rsid w:val="00316D8F"/>
    <w:rsid w:val="00414600"/>
    <w:rsid w:val="0042133C"/>
    <w:rsid w:val="00470DCA"/>
    <w:rsid w:val="0049216F"/>
    <w:rsid w:val="00497B9E"/>
    <w:rsid w:val="004D5712"/>
    <w:rsid w:val="00512CDA"/>
    <w:rsid w:val="00531169"/>
    <w:rsid w:val="00550B67"/>
    <w:rsid w:val="0057701A"/>
    <w:rsid w:val="00607906"/>
    <w:rsid w:val="00633C25"/>
    <w:rsid w:val="006508FD"/>
    <w:rsid w:val="00680337"/>
    <w:rsid w:val="006854B3"/>
    <w:rsid w:val="00696253"/>
    <w:rsid w:val="006A161D"/>
    <w:rsid w:val="006B4B1C"/>
    <w:rsid w:val="006E7EC5"/>
    <w:rsid w:val="00737701"/>
    <w:rsid w:val="00747168"/>
    <w:rsid w:val="007631BF"/>
    <w:rsid w:val="0078161C"/>
    <w:rsid w:val="007D639F"/>
    <w:rsid w:val="0091196A"/>
    <w:rsid w:val="00940DCD"/>
    <w:rsid w:val="00A00A0F"/>
    <w:rsid w:val="00AF39D3"/>
    <w:rsid w:val="00B26F36"/>
    <w:rsid w:val="00B404E4"/>
    <w:rsid w:val="00B4129E"/>
    <w:rsid w:val="00B73E03"/>
    <w:rsid w:val="00C336B8"/>
    <w:rsid w:val="00CF7AB4"/>
    <w:rsid w:val="00D01554"/>
    <w:rsid w:val="00D063ED"/>
    <w:rsid w:val="00D16893"/>
    <w:rsid w:val="00D303A3"/>
    <w:rsid w:val="00D8594F"/>
    <w:rsid w:val="00DE5D19"/>
    <w:rsid w:val="00E67D21"/>
    <w:rsid w:val="00E95EAD"/>
    <w:rsid w:val="00EA2ACC"/>
    <w:rsid w:val="00F43F9D"/>
    <w:rsid w:val="00F463D6"/>
    <w:rsid w:val="00F506C0"/>
    <w:rsid w:val="00F5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8CA6-53EC-46B6-B9CF-D2F22A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600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600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14600"/>
    <w:pPr>
      <w:keepNext/>
      <w:spacing w:after="0" w:line="240" w:lineRule="auto"/>
      <w:jc w:val="both"/>
      <w:outlineLvl w:val="2"/>
    </w:pPr>
    <w:rPr>
      <w:rFonts w:ascii="Arial Narrow" w:hAnsi="Arial Narrow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11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16893"/>
  </w:style>
  <w:style w:type="paragraph" w:styleId="Pta">
    <w:name w:val="footer"/>
    <w:basedOn w:val="Normlny"/>
    <w:link w:val="PtaChar"/>
    <w:uiPriority w:val="99"/>
    <w:unhideWhenUsed/>
    <w:rsid w:val="00D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6893"/>
  </w:style>
  <w:style w:type="character" w:customStyle="1" w:styleId="Nadpis1Char">
    <w:name w:val="Nadpis 1 Char"/>
    <w:basedOn w:val="Predvolenpsmoodseku"/>
    <w:link w:val="Nadpis1"/>
    <w:uiPriority w:val="9"/>
    <w:rsid w:val="00414600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14600"/>
    <w:rPr>
      <w:rFonts w:ascii="Arial Narrow" w:hAnsi="Arial Narrow" w:cs="Arial"/>
      <w:b/>
      <w:color w:val="FFFFFF" w:themeColor="background1"/>
    </w:rPr>
  </w:style>
  <w:style w:type="character" w:customStyle="1" w:styleId="Nadpis3Char">
    <w:name w:val="Nadpis 3 Char"/>
    <w:basedOn w:val="Predvolenpsmoodseku"/>
    <w:link w:val="Nadpis3"/>
    <w:uiPriority w:val="9"/>
    <w:rsid w:val="00414600"/>
    <w:rPr>
      <w:rFonts w:ascii="Arial Narrow" w:hAnsi="Arial Narrow"/>
      <w:b/>
    </w:rPr>
  </w:style>
  <w:style w:type="paragraph" w:styleId="Zkladntext">
    <w:name w:val="Body Text"/>
    <w:basedOn w:val="Normlny"/>
    <w:link w:val="Zkladntext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4600"/>
    <w:rPr>
      <w:rFonts w:ascii="Arial Narrow" w:hAnsi="Arial Narrow" w:cs="Arial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414600"/>
    <w:pPr>
      <w:spacing w:after="0" w:line="240" w:lineRule="auto"/>
      <w:jc w:val="both"/>
    </w:pPr>
    <w:rPr>
      <w:rFonts w:ascii="Arial Narrow" w:hAnsi="Arial Narrow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4600"/>
    <w:rPr>
      <w:rFonts w:ascii="Arial Narrow" w:hAnsi="Arial Narrow" w:cs="Arial"/>
    </w:rPr>
  </w:style>
  <w:style w:type="paragraph" w:styleId="Textbubliny">
    <w:name w:val="Balloon Text"/>
    <w:basedOn w:val="Normlny"/>
    <w:link w:val="TextbublinyChar"/>
    <w:uiPriority w:val="99"/>
    <w:unhideWhenUsed/>
    <w:rsid w:val="004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6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600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414600"/>
    <w:pPr>
      <w:spacing w:before="120" w:after="120"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600"/>
    <w:rPr>
      <w:rFonts w:ascii="Arial Narrow" w:hAnsi="Arial Narrow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116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Kužma Emil</cp:lastModifiedBy>
  <cp:revision>3</cp:revision>
  <dcterms:created xsi:type="dcterms:W3CDTF">2017-01-26T11:21:00Z</dcterms:created>
  <dcterms:modified xsi:type="dcterms:W3CDTF">2017-01-26T11:22:00Z</dcterms:modified>
</cp:coreProperties>
</file>