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B4169B" w:rsidRDefault="002C0248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B7327" w:rsidRPr="00B4169B">
              <w:rPr>
                <w:sz w:val="18"/>
                <w:szCs w:val="18"/>
              </w:rPr>
              <w:t xml:space="preserve"> na základe poľa č. 43, ktoré</w:t>
            </w:r>
            <w:r w:rsidR="00FB7327" w:rsidRPr="00B4169B" w:rsidDel="002C0248">
              <w:rPr>
                <w:sz w:val="18"/>
                <w:szCs w:val="18"/>
              </w:rPr>
              <w:t xml:space="preserve"> </w:t>
            </w:r>
            <w:r w:rsidR="00FB7327" w:rsidRPr="00B4169B">
              <w:rPr>
                <w:sz w:val="18"/>
                <w:szCs w:val="18"/>
              </w:rPr>
              <w:t>vypĺňa žiadateľ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1B790C" w:rsidRPr="00B4169B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1B790C" w:rsidRPr="00B4169B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B4169B" w:rsidRDefault="00F14578" w:rsidP="00A47DF3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A56568" w:rsidRPr="00B4169B" w:rsidTr="00C22DB6">
        <w:tc>
          <w:tcPr>
            <w:tcW w:w="9062" w:type="dxa"/>
            <w:gridSpan w:val="3"/>
          </w:tcPr>
          <w:p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1. Identifikácia žiadateľa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B4169B" w:rsidRDefault="008752EF" w:rsidP="00A47DF3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B4169B" w:rsidRDefault="00FC3177" w:rsidP="00A47DF3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75785C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Áno/nie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B4169B" w:rsidRDefault="008752EF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8342C" w:rsidRPr="00B4169B" w:rsidTr="00B4169B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8342C" w:rsidRPr="00B4169B" w:rsidTr="00B4169B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280976">
        <w:tc>
          <w:tcPr>
            <w:tcW w:w="704" w:type="dxa"/>
          </w:tcPr>
          <w:p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:rsidTr="00C22DB6">
        <w:tc>
          <w:tcPr>
            <w:tcW w:w="9062" w:type="dxa"/>
            <w:gridSpan w:val="3"/>
          </w:tcPr>
          <w:p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:rsidTr="00C22DB6">
        <w:tc>
          <w:tcPr>
            <w:tcW w:w="9062" w:type="dxa"/>
            <w:gridSpan w:val="3"/>
          </w:tcPr>
          <w:p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280976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:rsidTr="00C22DB6">
        <w:tc>
          <w:tcPr>
            <w:tcW w:w="9062" w:type="dxa"/>
            <w:gridSpan w:val="3"/>
          </w:tcPr>
          <w:p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:rsidTr="00C22DB6">
        <w:tc>
          <w:tcPr>
            <w:tcW w:w="9062" w:type="dxa"/>
            <w:gridSpan w:val="3"/>
          </w:tcPr>
          <w:p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:rsidTr="00C22DB6">
        <w:tc>
          <w:tcPr>
            <w:tcW w:w="9062" w:type="dxa"/>
            <w:gridSpan w:val="3"/>
          </w:tcPr>
          <w:p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:rsidTr="00B4169B">
        <w:tc>
          <w:tcPr>
            <w:tcW w:w="704" w:type="dxa"/>
          </w:tcPr>
          <w:p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:rsidTr="00C22DB6">
        <w:tc>
          <w:tcPr>
            <w:tcW w:w="9062" w:type="dxa"/>
            <w:gridSpan w:val="3"/>
          </w:tcPr>
          <w:p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člen.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>“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:rsidTr="00B4169B">
        <w:tc>
          <w:tcPr>
            <w:tcW w:w="704" w:type="dxa"/>
          </w:tcPr>
          <w:p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:rsidR="0088342C" w:rsidRPr="00B4169B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B4169B">
        <w:tc>
          <w:tcPr>
            <w:tcW w:w="704" w:type="dxa"/>
          </w:tcPr>
          <w:p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:rsidR="0088342C" w:rsidRPr="00B4169B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žiadateľ</w:t>
            </w:r>
          </w:p>
        </w:tc>
        <w:tc>
          <w:tcPr>
            <w:tcW w:w="5239" w:type="dxa"/>
            <w:vAlign w:val="center"/>
          </w:tcPr>
          <w:p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:rsidTr="00B4169B">
        <w:tc>
          <w:tcPr>
            <w:tcW w:w="704" w:type="dxa"/>
          </w:tcPr>
          <w:p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kalend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. rok pred podaním ŽoNFP </w:t>
            </w:r>
          </w:p>
        </w:tc>
        <w:tc>
          <w:tcPr>
            <w:tcW w:w="5239" w:type="dxa"/>
            <w:vAlign w:val="center"/>
          </w:tcPr>
          <w:p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ŽoNFP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lastRenderedPageBreak/>
              <w:t>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:rsidTr="00B4169B">
        <w:tc>
          <w:tcPr>
            <w:tcW w:w="704" w:type="dxa"/>
          </w:tcPr>
          <w:p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119" w:type="dxa"/>
            <w:vAlign w:val="center"/>
          </w:tcPr>
          <w:p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:rsidTr="00B4169B">
        <w:tc>
          <w:tcPr>
            <w:tcW w:w="704" w:type="dxa"/>
          </w:tcPr>
          <w:p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:rsidTr="00B4169B">
        <w:tc>
          <w:tcPr>
            <w:tcW w:w="704" w:type="dxa"/>
          </w:tcPr>
          <w:p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Primárna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:rsidTr="00B4169B">
        <w:tc>
          <w:tcPr>
            <w:tcW w:w="704" w:type="dxa"/>
          </w:tcPr>
          <w:p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predominantná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:rsidTr="00B4169B">
        <w:tc>
          <w:tcPr>
            <w:tcW w:w="704" w:type="dxa"/>
          </w:tcPr>
          <w:p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:rsidTr="00B4169B">
        <w:tc>
          <w:tcPr>
            <w:tcW w:w="704" w:type="dxa"/>
          </w:tcPr>
          <w:p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:rsidTr="00B4169B">
        <w:tc>
          <w:tcPr>
            <w:tcW w:w="704" w:type="dxa"/>
          </w:tcPr>
          <w:p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doplnková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:rsidTr="00205335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</w:p>
        </w:tc>
      </w:tr>
      <w:tr w:rsidR="003E0CBA" w:rsidRPr="00B4169B" w:rsidTr="00205335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:rsidTr="00205335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:rsidTr="00205335">
        <w:tc>
          <w:tcPr>
            <w:tcW w:w="704" w:type="dxa"/>
          </w:tcPr>
          <w:p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:rsidR="00D2662F" w:rsidRPr="00B4169B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:rsidTr="00C22DB6">
        <w:tc>
          <w:tcPr>
            <w:tcW w:w="9062" w:type="dxa"/>
            <w:gridSpan w:val="3"/>
          </w:tcPr>
          <w:p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</w:t>
            </w:r>
            <w:r w:rsidR="00530EA3" w:rsidRPr="00B4169B">
              <w:rPr>
                <w:sz w:val="18"/>
                <w:szCs w:val="18"/>
              </w:rPr>
              <w:lastRenderedPageBreak/>
              <w:t xml:space="preserve">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lastRenderedPageBreak/>
              <w:t>6.B Miesto realizácie projektu mimo oprávneného územia OP</w:t>
            </w:r>
          </w:p>
          <w:p w:rsidR="00DF1130" w:rsidRPr="00205335" w:rsidRDefault="0020533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</w:t>
            </w:r>
            <w:proofErr w:type="spellEnd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:rsidR="00280976" w:rsidRPr="00B4169B" w:rsidRDefault="00205335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:rsidR="00205335" w:rsidRPr="00B4169B" w:rsidRDefault="0020533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lastRenderedPageBreak/>
              <w:t>závislosti od toho, či sú podporné aktivity oprávnené v rámci projektu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lastRenderedPageBreak/>
              <w:t>9.2  Aktivity projektu realizované mimo oprávneného územia OP</w:t>
            </w:r>
          </w:p>
          <w:p w:rsidR="00650B28" w:rsidRPr="00B4169B" w:rsidRDefault="0020533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:rsidTr="00280976">
        <w:tc>
          <w:tcPr>
            <w:tcW w:w="704" w:type="dxa"/>
          </w:tcPr>
          <w:p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  <w:vAlign w:val="center"/>
          </w:tcPr>
          <w:p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:rsidTr="00B4169B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:rsidTr="00280976">
        <w:tc>
          <w:tcPr>
            <w:tcW w:w="704" w:type="dxa"/>
          </w:tcPr>
          <w:p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:rsidR="00B9286B" w:rsidRPr="00B4169B" w:rsidRDefault="00B9286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:rsidTr="00280976">
        <w:tc>
          <w:tcPr>
            <w:tcW w:w="704" w:type="dxa"/>
          </w:tcPr>
          <w:p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:rsidTr="00280976">
        <w:tc>
          <w:tcPr>
            <w:tcW w:w="704" w:type="dxa"/>
          </w:tcPr>
          <w:p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:rsidTr="00280976">
        <w:tc>
          <w:tcPr>
            <w:tcW w:w="704" w:type="dxa"/>
          </w:tcPr>
          <w:p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:rsidR="00B9286B" w:rsidRPr="00B4169B" w:rsidRDefault="00B9286B" w:rsidP="00B9286B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 xml:space="preserve">TÝKA SA </w:t>
            </w:r>
            <w:r>
              <w:rPr>
                <w:i/>
                <w:color w:val="FF0000"/>
                <w:sz w:val="18"/>
                <w:szCs w:val="18"/>
              </w:rPr>
              <w:t xml:space="preserve">LEN PODOPATRENIA 16.4. Pri ostatných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podopatreniach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PRV SR 2014 – 2020 žiadateľ nevypĺňa.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21792A" w:rsidRPr="00B4169B" w:rsidRDefault="00213E4C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21792A" w:rsidRPr="00B4169B" w:rsidRDefault="00213E4C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:rsidR="0021792A" w:rsidRPr="00B4169B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21792A" w:rsidRPr="00B4169B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21792A" w:rsidRPr="00B4169B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21792A" w:rsidRPr="00B4169B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:rsidR="00B9286B" w:rsidRPr="00B4169B" w:rsidRDefault="00B9286B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Celková výška oprávnených výdavkov pre projekty generujúce 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lastRenderedPageBreak/>
              <w:t>príjem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lastRenderedPageBreak/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zodpovedajúce % spolufinancovania (zaokrúhlené na 4 desatinné miesta) v súlade s pravidlami financovania uvedenými vo výzve na predkladanie ŽoNFP a v príslušnej schéme pomoci </w:t>
            </w:r>
            <w:proofErr w:type="spellStart"/>
            <w:r w:rsidRPr="00B4169B">
              <w:rPr>
                <w:sz w:val="18"/>
                <w:szCs w:val="18"/>
              </w:rPr>
              <w:t>de</w:t>
            </w:r>
            <w:proofErr w:type="spellEnd"/>
            <w:r w:rsidRPr="00B4169B">
              <w:rPr>
                <w:sz w:val="18"/>
                <w:szCs w:val="18"/>
              </w:rPr>
              <w:t xml:space="preserve"> </w:t>
            </w:r>
            <w:proofErr w:type="spellStart"/>
            <w:r w:rsidRPr="00B4169B">
              <w:rPr>
                <w:sz w:val="18"/>
                <w:szCs w:val="18"/>
              </w:rPr>
              <w:t>minimis</w:t>
            </w:r>
            <w:proofErr w:type="spellEnd"/>
            <w:r w:rsidRPr="00B4169B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B9286B" w:rsidRDefault="00B9286B" w:rsidP="0021792A">
            <w:pPr>
              <w:rPr>
                <w:i/>
                <w:color w:val="FF0000"/>
                <w:sz w:val="18"/>
                <w:szCs w:val="18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 xml:space="preserve">TÝKA SA </w:t>
            </w:r>
            <w:r>
              <w:rPr>
                <w:i/>
                <w:color w:val="FF0000"/>
                <w:sz w:val="18"/>
                <w:szCs w:val="18"/>
              </w:rPr>
              <w:t xml:space="preserve">LEN PODOPATRENIA 16.4. Pri ostatných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podopatreniach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PRV SR 2014 – 2020 žiadateľ nevypĺňa.</w:t>
            </w:r>
          </w:p>
          <w:p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 w:rsidRPr="00205335">
              <w:rPr>
                <w:i/>
                <w:color w:val="FF0000"/>
                <w:sz w:val="18"/>
                <w:szCs w:val="18"/>
              </w:rPr>
              <w:t>NETÝKA SA PRV SR 2014 – 2020</w:t>
            </w:r>
            <w:r>
              <w:rPr>
                <w:i/>
                <w:color w:val="FF0000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financovania uvedenými vo výzve na predkladanie ŽoNFP a v príslušnej schéme pomoci </w:t>
            </w:r>
            <w:proofErr w:type="spellStart"/>
            <w:r w:rsidRPr="00B4169B">
              <w:rPr>
                <w:sz w:val="18"/>
                <w:szCs w:val="18"/>
              </w:rPr>
              <w:t>de</w:t>
            </w:r>
            <w:proofErr w:type="spellEnd"/>
            <w:r w:rsidRPr="00B4169B">
              <w:rPr>
                <w:sz w:val="18"/>
                <w:szCs w:val="18"/>
              </w:rPr>
              <w:t xml:space="preserve"> </w:t>
            </w:r>
            <w:proofErr w:type="spellStart"/>
            <w:r w:rsidRPr="00B4169B">
              <w:rPr>
                <w:sz w:val="18"/>
                <w:szCs w:val="18"/>
              </w:rPr>
              <w:t>minimis</w:t>
            </w:r>
            <w:proofErr w:type="spellEnd"/>
            <w:r w:rsidRPr="00B4169B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216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BD21B3">
        <w:trPr>
          <w:trHeight w:val="158"/>
        </w:trPr>
        <w:tc>
          <w:tcPr>
            <w:tcW w:w="9062" w:type="dxa"/>
            <w:gridSpan w:val="3"/>
          </w:tcPr>
          <w:p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:rsidTr="00466716">
        <w:tc>
          <w:tcPr>
            <w:tcW w:w="704" w:type="dxa"/>
          </w:tcPr>
          <w:p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3119" w:type="dxa"/>
            <w:vAlign w:val="center"/>
          </w:tcPr>
          <w:p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 xml:space="preserve">dateľ uvedie výslednú </w:t>
            </w:r>
            <w:proofErr w:type="spellStart"/>
            <w:r w:rsidR="0021792A" w:rsidRPr="00B4169B">
              <w:rPr>
                <w:sz w:val="18"/>
                <w:szCs w:val="18"/>
              </w:rPr>
              <w:t>zazmluvnenú</w:t>
            </w:r>
            <w:proofErr w:type="spellEnd"/>
            <w:r w:rsidR="0021792A" w:rsidRPr="00B4169B">
              <w:rPr>
                <w:sz w:val="18"/>
                <w:szCs w:val="18"/>
              </w:rPr>
              <w:t xml:space="preserve"> cenu.</w:t>
            </w:r>
          </w:p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 xml:space="preserve">informácia o uplatňovaní sociálneho aspektu vo </w:t>
            </w:r>
            <w:proofErr w:type="spellStart"/>
            <w:r w:rsidRPr="00B4169B">
              <w:rPr>
                <w:sz w:val="18"/>
                <w:szCs w:val="18"/>
              </w:rPr>
              <w:t>VO</w:t>
            </w:r>
            <w:proofErr w:type="spellEnd"/>
            <w:r w:rsidRPr="00B4169B">
              <w:rPr>
                <w:sz w:val="18"/>
                <w:szCs w:val="18"/>
              </w:rPr>
              <w:t>, resp. zeleného VO</w:t>
            </w:r>
            <w:r w:rsidR="00F6238F">
              <w:rPr>
                <w:sz w:val="18"/>
                <w:szCs w:val="18"/>
              </w:rPr>
              <w:t xml:space="preserve"> pre príslušné podopatrenie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:rsidTr="00466716">
        <w:trPr>
          <w:trHeight w:val="367"/>
        </w:trPr>
        <w:tc>
          <w:tcPr>
            <w:tcW w:w="9062" w:type="dxa"/>
            <w:gridSpan w:val="3"/>
          </w:tcPr>
          <w:p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:rsidTr="00D95A19">
        <w:trPr>
          <w:trHeight w:val="240"/>
        </w:trPr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:rsidTr="00C22DB6">
        <w:trPr>
          <w:trHeight w:val="240"/>
        </w:trPr>
        <w:tc>
          <w:tcPr>
            <w:tcW w:w="9062" w:type="dxa"/>
            <w:gridSpan w:val="3"/>
          </w:tcPr>
          <w:p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:rsidR="0021792A" w:rsidRPr="00F6238F" w:rsidRDefault="0021792A" w:rsidP="00466716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</w:tc>
      </w:tr>
      <w:tr w:rsidR="0021792A" w:rsidRPr="00B4169B" w:rsidTr="0028097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:rsidTr="00C22DB6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možností v prípade, ak sú relevantné.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241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255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:rsidTr="0075785C">
        <w:tc>
          <w:tcPr>
            <w:tcW w:w="9062" w:type="dxa"/>
            <w:gridSpan w:val="3"/>
          </w:tcPr>
          <w:p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:rsidR="0021792A" w:rsidRPr="00466716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 RO vo výzve v prípade, ak požaduje od žiadateľa vyplnenie ďalších informácií, ktoré nie sú uvedené vo vzore ŽoNFP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256</w:t>
            </w:r>
          </w:p>
        </w:tc>
        <w:tc>
          <w:tcPr>
            <w:tcW w:w="3119" w:type="dxa"/>
            <w:vAlign w:val="center"/>
          </w:tcPr>
          <w:p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:rsidTr="00466716">
        <w:tc>
          <w:tcPr>
            <w:tcW w:w="704" w:type="dxa"/>
          </w:tcPr>
          <w:p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257</w:t>
            </w:r>
          </w:p>
        </w:tc>
        <w:tc>
          <w:tcPr>
            <w:tcW w:w="3119" w:type="dxa"/>
            <w:vAlign w:val="center"/>
          </w:tcPr>
          <w:p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  <w:bookmarkStart w:id="0" w:name="_GoBack"/>
            <w:bookmarkEnd w:id="0"/>
          </w:p>
        </w:tc>
      </w:tr>
    </w:tbl>
    <w:p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5B" w:rsidRDefault="005D2D5B" w:rsidP="006B0271">
      <w:pPr>
        <w:spacing w:after="0" w:line="240" w:lineRule="auto"/>
      </w:pPr>
      <w:r>
        <w:separator/>
      </w:r>
    </w:p>
  </w:endnote>
  <w:endnote w:type="continuationSeparator" w:id="0">
    <w:p w:rsidR="005D2D5B" w:rsidRDefault="005D2D5B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5B" w:rsidRDefault="005D2D5B" w:rsidP="006B0271">
      <w:pPr>
        <w:spacing w:after="0" w:line="240" w:lineRule="auto"/>
      </w:pPr>
      <w:r>
        <w:separator/>
      </w:r>
    </w:p>
  </w:footnote>
  <w:footnote w:type="continuationSeparator" w:id="0">
    <w:p w:rsidR="005D2D5B" w:rsidRDefault="005D2D5B" w:rsidP="006B0271">
      <w:pPr>
        <w:spacing w:after="0" w:line="240" w:lineRule="auto"/>
      </w:pPr>
      <w:r>
        <w:continuationSeparator/>
      </w:r>
    </w:p>
  </w:footnote>
  <w:footnote w:id="1">
    <w:p w:rsidR="0088025C" w:rsidRDefault="008802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C" w:rsidRDefault="008802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3EE0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328F"/>
    <w:rsid w:val="003A4671"/>
    <w:rsid w:val="003C119B"/>
    <w:rsid w:val="003C1278"/>
    <w:rsid w:val="003C6BB9"/>
    <w:rsid w:val="003E0CBA"/>
    <w:rsid w:val="003E2E67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2D5E"/>
    <w:rsid w:val="006E7594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45434"/>
    <w:rsid w:val="008462DC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630B1"/>
    <w:rsid w:val="00B7760C"/>
    <w:rsid w:val="00B779D9"/>
    <w:rsid w:val="00B9098F"/>
    <w:rsid w:val="00B91DE5"/>
    <w:rsid w:val="00B9286B"/>
    <w:rsid w:val="00BB01F9"/>
    <w:rsid w:val="00BB30E0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00D8-8E99-4F62-AE1B-C1F11BC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2019-01-04T12:40:00Z</dcterms:created>
  <dcterms:modified xsi:type="dcterms:W3CDTF">2019-04-04T07:30:00Z</dcterms:modified>
</cp:coreProperties>
</file>