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8620D" w14:textId="363DF9F1" w:rsidR="00FC123B" w:rsidRPr="00C20B3F" w:rsidRDefault="00FC123B" w:rsidP="00FC123B">
      <w:pPr>
        <w:spacing w:line="300" w:lineRule="exact"/>
        <w:ind w:left="2124" w:firstLine="495"/>
        <w:jc w:val="right"/>
        <w:rPr>
          <w:b/>
          <w:bCs/>
          <w:i/>
          <w:sz w:val="20"/>
          <w:szCs w:val="21"/>
        </w:rPr>
      </w:pPr>
      <w:r w:rsidRPr="00C20B3F">
        <w:rPr>
          <w:b/>
          <w:bCs/>
          <w:i/>
          <w:sz w:val="20"/>
          <w:szCs w:val="21"/>
        </w:rPr>
        <w:t>Príloha č. 1</w:t>
      </w:r>
      <w:r w:rsidR="00251EBD">
        <w:rPr>
          <w:b/>
          <w:bCs/>
          <w:i/>
          <w:sz w:val="20"/>
          <w:szCs w:val="21"/>
        </w:rPr>
        <w:t>5</w:t>
      </w:r>
      <w:r w:rsidRPr="00C20B3F">
        <w:rPr>
          <w:b/>
          <w:bCs/>
          <w:i/>
          <w:sz w:val="20"/>
          <w:szCs w:val="21"/>
        </w:rPr>
        <w:t xml:space="preserve">  k Príručke pre žiadateľa – Schválenie OP a financovanie OF </w:t>
      </w:r>
      <w:r>
        <w:rPr>
          <w:b/>
          <w:bCs/>
          <w:i/>
          <w:sz w:val="20"/>
          <w:szCs w:val="21"/>
        </w:rPr>
        <w:t xml:space="preserve">   </w:t>
      </w:r>
      <w:r w:rsidRPr="00C20B3F">
        <w:rPr>
          <w:b/>
          <w:bCs/>
          <w:i/>
          <w:sz w:val="20"/>
          <w:szCs w:val="21"/>
        </w:rPr>
        <w:t>OV / ZOV podľa  delegovaného nariadenia Komisie (EÚ) 2017/891 a</w:t>
      </w:r>
    </w:p>
    <w:p w14:paraId="77865074" w14:textId="77777777" w:rsidR="00FC123B" w:rsidRPr="00C20B3F" w:rsidRDefault="00FC123B" w:rsidP="00FC123B">
      <w:pPr>
        <w:spacing w:line="300" w:lineRule="exact"/>
        <w:ind w:left="567"/>
        <w:jc w:val="right"/>
        <w:rPr>
          <w:b/>
          <w:bCs/>
          <w:i/>
          <w:sz w:val="20"/>
          <w:szCs w:val="21"/>
        </w:rPr>
      </w:pPr>
      <w:r w:rsidRPr="00C20B3F">
        <w:rPr>
          <w:b/>
          <w:bCs/>
          <w:i/>
          <w:sz w:val="20"/>
          <w:szCs w:val="21"/>
        </w:rPr>
        <w:t>vykonávacieho nariadenia Komisie (EÚ) 2017/892</w:t>
      </w:r>
    </w:p>
    <w:p w14:paraId="76C97A22" w14:textId="77777777" w:rsidR="00FC123B" w:rsidRDefault="00FC123B" w:rsidP="003D7BA0">
      <w:pPr>
        <w:widowControl w:val="0"/>
        <w:pBdr>
          <w:bottom w:val="single" w:sz="4" w:space="1" w:color="auto"/>
        </w:pBdr>
        <w:suppressAutoHyphens/>
        <w:jc w:val="both"/>
        <w:rPr>
          <w:b/>
          <w:sz w:val="28"/>
          <w:szCs w:val="28"/>
          <w:u w:val="single"/>
        </w:rPr>
      </w:pPr>
    </w:p>
    <w:p w14:paraId="2A5F5E44" w14:textId="77777777" w:rsidR="00FC123B" w:rsidRDefault="00FC123B" w:rsidP="003D7BA0">
      <w:pPr>
        <w:widowControl w:val="0"/>
        <w:pBdr>
          <w:bottom w:val="single" w:sz="4" w:space="1" w:color="auto"/>
        </w:pBdr>
        <w:suppressAutoHyphens/>
        <w:jc w:val="both"/>
        <w:rPr>
          <w:b/>
          <w:sz w:val="28"/>
          <w:szCs w:val="28"/>
          <w:u w:val="single"/>
        </w:rPr>
      </w:pPr>
    </w:p>
    <w:p w14:paraId="27B0308B" w14:textId="36F764DF" w:rsidR="00F97203" w:rsidRPr="003D7BA0" w:rsidRDefault="003D7BA0" w:rsidP="003D7BA0">
      <w:pPr>
        <w:widowControl w:val="0"/>
        <w:pBdr>
          <w:bottom w:val="single" w:sz="4" w:space="1" w:color="auto"/>
        </w:pBdr>
        <w:suppressAutoHyphens/>
        <w:jc w:val="both"/>
        <w:rPr>
          <w:b/>
          <w:sz w:val="28"/>
          <w:szCs w:val="28"/>
          <w:u w:val="single"/>
        </w:rPr>
      </w:pPr>
      <w:r w:rsidRPr="003D7BA0">
        <w:rPr>
          <w:b/>
          <w:sz w:val="28"/>
          <w:szCs w:val="28"/>
          <w:u w:val="single"/>
        </w:rPr>
        <w:t>Usmernenie vo veci určovania špecifických nákladov na akcie environmentálnych opatrení vnútroštátneho rámca Slovenskej republiky pri poskytovaní finančnej pomoci Európskej únie na financovanie operačného fondu organizácie výrobcov</w:t>
      </w:r>
      <w:r w:rsidR="00A045FC">
        <w:rPr>
          <w:b/>
          <w:sz w:val="28"/>
          <w:szCs w:val="28"/>
          <w:u w:val="single"/>
        </w:rPr>
        <w:t xml:space="preserve"> v sektore </w:t>
      </w:r>
      <w:r w:rsidRPr="003D7BA0">
        <w:rPr>
          <w:b/>
          <w:sz w:val="28"/>
          <w:szCs w:val="28"/>
          <w:u w:val="single"/>
        </w:rPr>
        <w:t xml:space="preserve">ovocia a zeleniny </w:t>
      </w:r>
    </w:p>
    <w:p w14:paraId="2D43162B" w14:textId="77777777" w:rsidR="003D7BA0" w:rsidRDefault="003D7BA0" w:rsidP="003D7BA0">
      <w:pPr>
        <w:widowControl w:val="0"/>
        <w:pBdr>
          <w:bottom w:val="single" w:sz="4" w:space="1" w:color="auto"/>
        </w:pBdr>
        <w:suppressAutoHyphens/>
        <w:jc w:val="both"/>
        <w:rPr>
          <w:rFonts w:asciiTheme="minorHAnsi" w:hAnsiTheme="minorHAnsi"/>
          <w:sz w:val="22"/>
          <w:szCs w:val="22"/>
        </w:rPr>
      </w:pPr>
    </w:p>
    <w:p w14:paraId="01B64904" w14:textId="4BE596C1" w:rsidR="00C81C9C" w:rsidRPr="000B049C" w:rsidRDefault="003D7BA0" w:rsidP="003D7BA0">
      <w:pPr>
        <w:widowControl w:val="0"/>
        <w:pBdr>
          <w:bottom w:val="single" w:sz="4" w:space="1" w:color="auto"/>
        </w:pBdr>
        <w:suppressAutoHyphens/>
        <w:jc w:val="both"/>
        <w:rPr>
          <w:sz w:val="22"/>
          <w:szCs w:val="22"/>
        </w:rPr>
      </w:pPr>
      <w:r w:rsidRPr="000B049C">
        <w:rPr>
          <w:sz w:val="22"/>
          <w:szCs w:val="22"/>
        </w:rPr>
        <w:t xml:space="preserve">Usmernenie  určuje akým spôsobom má žiadateľ určovať výšku špecifických nákladov, ktoré boli </w:t>
      </w:r>
      <w:r w:rsidR="00A045FC" w:rsidRPr="000B049C">
        <w:rPr>
          <w:sz w:val="22"/>
          <w:szCs w:val="22"/>
        </w:rPr>
        <w:t xml:space="preserve">                        </w:t>
      </w:r>
      <w:r w:rsidRPr="000B049C">
        <w:rPr>
          <w:sz w:val="22"/>
          <w:szCs w:val="22"/>
        </w:rPr>
        <w:t xml:space="preserve">v rámci realizácie operačných programov v sektore ovocia a zeleniny podľa čl. 33 ods. 1 nariadenia Európskeho parlamentu a Rady (EÚ) č. 1308/2013 zo 17. decembra 2013, ktorým sa vytvára spoločná organizácia trhov s poľnohospodárskymi výrobkami, a ktorým sa zrušujú nariadenia Rady (EHS) </w:t>
      </w:r>
      <w:r w:rsidR="00A045FC" w:rsidRPr="000B049C">
        <w:rPr>
          <w:sz w:val="22"/>
          <w:szCs w:val="22"/>
        </w:rPr>
        <w:t xml:space="preserve">                           </w:t>
      </w:r>
      <w:r w:rsidRPr="000B049C">
        <w:rPr>
          <w:sz w:val="22"/>
          <w:szCs w:val="22"/>
        </w:rPr>
        <w:t>č. 922/72, (EHS) č. 234/79, (ES) č. 1037/2001 a (ES) č. 1234/2007 (Ú. v. ES L 347 20.12.2013) (ďalej len „operačný program“) vynaložené na akcie č. 5.1.2, 5.4.1 a 5.6.1 environmentálnych opatrení vnútroštátneho rámca Slovenskej republiky podľa prílohy č. II Národnej stratégie Slovenskej republiky pre operačné programy organizácií výrobcov v sektore ovocia a zeleniny na roky 2018 – 2014 (ďalej len „národná stratégia“).</w:t>
      </w:r>
      <w:r w:rsidR="00C81C9C" w:rsidRPr="000B049C">
        <w:rPr>
          <w:sz w:val="22"/>
          <w:szCs w:val="22"/>
        </w:rPr>
        <w:t xml:space="preserve"> Toto usmernenie je vypracované na základe usmernenia Ministerstva pôdohospodárstva a rozvoja vidieka </w:t>
      </w:r>
      <w:r w:rsidR="001C07C4" w:rsidRPr="000B049C">
        <w:rPr>
          <w:sz w:val="22"/>
          <w:szCs w:val="22"/>
        </w:rPr>
        <w:t>a E</w:t>
      </w:r>
      <w:r w:rsidR="00C81C9C" w:rsidRPr="000B049C">
        <w:rPr>
          <w:sz w:val="22"/>
          <w:szCs w:val="22"/>
        </w:rPr>
        <w:t>urópskej Komisi</w:t>
      </w:r>
      <w:r w:rsidR="00A13F06" w:rsidRPr="000B049C">
        <w:rPr>
          <w:sz w:val="22"/>
          <w:szCs w:val="22"/>
        </w:rPr>
        <w:t>e</w:t>
      </w:r>
      <w:r w:rsidR="001C07C4" w:rsidRPr="000B049C">
        <w:rPr>
          <w:sz w:val="22"/>
          <w:szCs w:val="22"/>
        </w:rPr>
        <w:t xml:space="preserve"> EÚ</w:t>
      </w:r>
      <w:r w:rsidR="00C81C9C" w:rsidRPr="000B049C">
        <w:rPr>
          <w:sz w:val="22"/>
          <w:szCs w:val="22"/>
        </w:rPr>
        <w:t>.</w:t>
      </w:r>
    </w:p>
    <w:p w14:paraId="491BC651" w14:textId="77777777" w:rsidR="00C81C9C" w:rsidRPr="000B049C" w:rsidRDefault="00C81C9C" w:rsidP="003D7BA0">
      <w:pPr>
        <w:widowControl w:val="0"/>
        <w:pBdr>
          <w:bottom w:val="single" w:sz="4" w:space="1" w:color="auto"/>
        </w:pBdr>
        <w:suppressAutoHyphens/>
        <w:jc w:val="both"/>
        <w:rPr>
          <w:sz w:val="22"/>
          <w:szCs w:val="22"/>
        </w:rPr>
      </w:pPr>
    </w:p>
    <w:p w14:paraId="4993DD2E" w14:textId="77777777" w:rsidR="003D7BA0" w:rsidRPr="000B049C" w:rsidRDefault="003D7BA0" w:rsidP="003D7BA0">
      <w:pPr>
        <w:widowControl w:val="0"/>
        <w:pBdr>
          <w:bottom w:val="single" w:sz="4" w:space="1" w:color="auto"/>
        </w:pBdr>
        <w:suppressAutoHyphens/>
        <w:jc w:val="both"/>
        <w:rPr>
          <w:sz w:val="22"/>
          <w:szCs w:val="22"/>
        </w:rPr>
      </w:pPr>
      <w:r w:rsidRPr="000B049C">
        <w:rPr>
          <w:sz w:val="22"/>
          <w:szCs w:val="22"/>
        </w:rPr>
        <w:t xml:space="preserve">Podľa prílohy č. II k národnej stratégii je </w:t>
      </w:r>
      <w:r w:rsidRPr="000B049C">
        <w:rPr>
          <w:sz w:val="22"/>
          <w:szCs w:val="22"/>
          <w:u w:val="single"/>
        </w:rPr>
        <w:t>výška špecifických nákladov na akciu</w:t>
      </w:r>
      <w:r w:rsidRPr="000B049C">
        <w:rPr>
          <w:sz w:val="22"/>
          <w:szCs w:val="22"/>
        </w:rPr>
        <w:t xml:space="preserve"> </w:t>
      </w:r>
    </w:p>
    <w:p w14:paraId="489910B1" w14:textId="77777777" w:rsidR="003D7BA0" w:rsidRPr="000B049C" w:rsidRDefault="003D7BA0" w:rsidP="003D7BA0">
      <w:pPr>
        <w:widowControl w:val="0"/>
        <w:pBdr>
          <w:bottom w:val="single" w:sz="4" w:space="1" w:color="auto"/>
        </w:pBdr>
        <w:suppressAutoHyphens/>
        <w:jc w:val="both"/>
        <w:rPr>
          <w:sz w:val="22"/>
          <w:szCs w:val="22"/>
        </w:rPr>
      </w:pPr>
    </w:p>
    <w:p w14:paraId="33222E1E" w14:textId="77777777" w:rsidR="003D7BA0" w:rsidRPr="000B049C" w:rsidRDefault="003D7BA0" w:rsidP="003D7BA0">
      <w:pPr>
        <w:widowControl w:val="0"/>
        <w:pBdr>
          <w:bottom w:val="single" w:sz="4" w:space="1" w:color="auto"/>
        </w:pBdr>
        <w:suppressAutoHyphens/>
        <w:jc w:val="both"/>
        <w:rPr>
          <w:sz w:val="22"/>
          <w:szCs w:val="22"/>
          <w:u w:val="single"/>
        </w:rPr>
      </w:pPr>
      <w:r w:rsidRPr="000B049C">
        <w:rPr>
          <w:sz w:val="22"/>
          <w:szCs w:val="22"/>
        </w:rPr>
        <w:t>a)</w:t>
      </w:r>
      <w:r w:rsidRPr="000B049C">
        <w:rPr>
          <w:sz w:val="22"/>
          <w:szCs w:val="22"/>
        </w:rPr>
        <w:tab/>
        <w:t xml:space="preserve">„Používanie ekologických mazív a ekologických hydraulických olejov v produkcii a zberovej technológii“ </w:t>
      </w:r>
      <w:r w:rsidRPr="000B049C">
        <w:rPr>
          <w:sz w:val="22"/>
          <w:szCs w:val="22"/>
          <w:u w:val="single"/>
        </w:rPr>
        <w:t xml:space="preserve">výškou rozdielu medzi cenou ekologických </w:t>
      </w:r>
      <w:r w:rsidR="00A045FC" w:rsidRPr="000B049C">
        <w:rPr>
          <w:sz w:val="22"/>
          <w:szCs w:val="22"/>
          <w:u w:val="single"/>
        </w:rPr>
        <w:t xml:space="preserve"> a konvenčných mazív </w:t>
      </w:r>
      <w:r w:rsidRPr="000B049C">
        <w:rPr>
          <w:sz w:val="22"/>
          <w:szCs w:val="22"/>
          <w:u w:val="single"/>
        </w:rPr>
        <w:t xml:space="preserve">alebo hydraulických olejov, </w:t>
      </w:r>
    </w:p>
    <w:p w14:paraId="41500A3E" w14:textId="77777777" w:rsidR="003D7BA0" w:rsidRPr="000B049C" w:rsidRDefault="003D7BA0" w:rsidP="003D7BA0">
      <w:pPr>
        <w:widowControl w:val="0"/>
        <w:pBdr>
          <w:bottom w:val="single" w:sz="4" w:space="1" w:color="auto"/>
        </w:pBdr>
        <w:suppressAutoHyphens/>
        <w:jc w:val="both"/>
        <w:rPr>
          <w:sz w:val="22"/>
          <w:szCs w:val="22"/>
          <w:u w:val="single"/>
        </w:rPr>
      </w:pPr>
      <w:r w:rsidRPr="000B049C">
        <w:rPr>
          <w:sz w:val="22"/>
          <w:szCs w:val="22"/>
        </w:rPr>
        <w:t>b)</w:t>
      </w:r>
      <w:r w:rsidRPr="000B049C">
        <w:rPr>
          <w:sz w:val="22"/>
          <w:szCs w:val="22"/>
        </w:rPr>
        <w:tab/>
        <w:t xml:space="preserve">„Aplikácia biologických prostriedkov na ochranu, zlepšenie rastu a kondície rastlín aj </w:t>
      </w:r>
      <w:r w:rsidR="00A045FC" w:rsidRPr="000B049C">
        <w:rPr>
          <w:sz w:val="22"/>
          <w:szCs w:val="22"/>
        </w:rPr>
        <w:t xml:space="preserve">                                    </w:t>
      </w:r>
      <w:r w:rsidRPr="000B049C">
        <w:rPr>
          <w:sz w:val="22"/>
          <w:szCs w:val="22"/>
        </w:rPr>
        <w:t xml:space="preserve">v konvenčnom pestovaní“ </w:t>
      </w:r>
      <w:r w:rsidRPr="000B049C">
        <w:rPr>
          <w:sz w:val="22"/>
          <w:szCs w:val="22"/>
          <w:u w:val="single"/>
        </w:rPr>
        <w:t>výškou rozdielu medzi cenou biologických</w:t>
      </w:r>
      <w:r w:rsidR="00A045FC" w:rsidRPr="000B049C">
        <w:rPr>
          <w:sz w:val="22"/>
          <w:szCs w:val="22"/>
          <w:u w:val="single"/>
        </w:rPr>
        <w:t xml:space="preserve"> a konvenčných </w:t>
      </w:r>
      <w:r w:rsidRPr="000B049C">
        <w:rPr>
          <w:sz w:val="22"/>
          <w:szCs w:val="22"/>
          <w:u w:val="single"/>
        </w:rPr>
        <w:t xml:space="preserve"> prípravkov </w:t>
      </w:r>
      <w:r w:rsidR="00A045FC" w:rsidRPr="000B049C">
        <w:rPr>
          <w:sz w:val="22"/>
          <w:szCs w:val="22"/>
          <w:u w:val="single"/>
        </w:rPr>
        <w:t xml:space="preserve">                          </w:t>
      </w:r>
      <w:r w:rsidRPr="000B049C">
        <w:rPr>
          <w:sz w:val="22"/>
          <w:szCs w:val="22"/>
          <w:u w:val="single"/>
        </w:rPr>
        <w:t xml:space="preserve">na ochranu rastlín, </w:t>
      </w:r>
    </w:p>
    <w:p w14:paraId="36A5C218" w14:textId="4C2B4F29" w:rsidR="003D7BA0" w:rsidRPr="000B049C" w:rsidRDefault="003D7BA0" w:rsidP="003D7BA0">
      <w:pPr>
        <w:widowControl w:val="0"/>
        <w:pBdr>
          <w:bottom w:val="single" w:sz="4" w:space="1" w:color="auto"/>
        </w:pBdr>
        <w:suppressAutoHyphens/>
        <w:jc w:val="both"/>
        <w:rPr>
          <w:sz w:val="22"/>
          <w:szCs w:val="22"/>
        </w:rPr>
      </w:pPr>
      <w:r w:rsidRPr="000B049C">
        <w:rPr>
          <w:sz w:val="22"/>
          <w:szCs w:val="22"/>
        </w:rPr>
        <w:t>c)</w:t>
      </w:r>
      <w:r w:rsidRPr="000B049C">
        <w:rPr>
          <w:sz w:val="22"/>
          <w:szCs w:val="22"/>
        </w:rPr>
        <w:tab/>
        <w:t xml:space="preserve">„Náhrada minerálnych substrátov organickými (v </w:t>
      </w:r>
      <w:proofErr w:type="spellStart"/>
      <w:r w:rsidRPr="000B049C">
        <w:rPr>
          <w:sz w:val="22"/>
          <w:szCs w:val="22"/>
        </w:rPr>
        <w:t>hydroponickom</w:t>
      </w:r>
      <w:proofErr w:type="spellEnd"/>
      <w:r w:rsidRPr="000B049C">
        <w:rPr>
          <w:sz w:val="22"/>
          <w:szCs w:val="22"/>
        </w:rPr>
        <w:t xml:space="preserve"> pestovaní zeleniny v skleníkoch) a ich ďalšie spracovanie“ </w:t>
      </w:r>
      <w:r w:rsidRPr="000B049C">
        <w:rPr>
          <w:sz w:val="22"/>
          <w:szCs w:val="22"/>
          <w:u w:val="single"/>
        </w:rPr>
        <w:t>výškou rozdielu medzi cenou</w:t>
      </w:r>
      <w:r w:rsidR="000B049C">
        <w:rPr>
          <w:sz w:val="22"/>
          <w:szCs w:val="22"/>
          <w:u w:val="single"/>
        </w:rPr>
        <w:t xml:space="preserve"> </w:t>
      </w:r>
      <w:r w:rsidRPr="000B049C">
        <w:rPr>
          <w:sz w:val="22"/>
          <w:szCs w:val="22"/>
          <w:u w:val="single"/>
        </w:rPr>
        <w:t>organických</w:t>
      </w:r>
      <w:r w:rsidR="00A045FC" w:rsidRPr="000B049C">
        <w:rPr>
          <w:sz w:val="22"/>
          <w:szCs w:val="22"/>
          <w:u w:val="single"/>
        </w:rPr>
        <w:t xml:space="preserve"> a minerálnych </w:t>
      </w:r>
      <w:r w:rsidRPr="000B049C">
        <w:rPr>
          <w:sz w:val="22"/>
          <w:szCs w:val="22"/>
          <w:u w:val="single"/>
        </w:rPr>
        <w:t>substrátov</w:t>
      </w:r>
      <w:r w:rsidRPr="000B049C">
        <w:rPr>
          <w:sz w:val="22"/>
          <w:szCs w:val="22"/>
        </w:rPr>
        <w:t>.</w:t>
      </w:r>
    </w:p>
    <w:p w14:paraId="1013D6D5" w14:textId="77777777" w:rsidR="003D7BA0" w:rsidRPr="000B049C" w:rsidRDefault="003D7BA0" w:rsidP="003D7BA0">
      <w:pPr>
        <w:widowControl w:val="0"/>
        <w:pBdr>
          <w:bottom w:val="single" w:sz="4" w:space="1" w:color="auto"/>
        </w:pBdr>
        <w:suppressAutoHyphens/>
        <w:jc w:val="both"/>
        <w:rPr>
          <w:sz w:val="22"/>
          <w:szCs w:val="22"/>
        </w:rPr>
      </w:pPr>
    </w:p>
    <w:p w14:paraId="64256120" w14:textId="2DFC0539" w:rsidR="003D7BA0" w:rsidRPr="000B049C" w:rsidRDefault="003D7BA0" w:rsidP="003D7BA0">
      <w:pPr>
        <w:widowControl w:val="0"/>
        <w:pBdr>
          <w:bottom w:val="single" w:sz="4" w:space="1" w:color="auto"/>
        </w:pBdr>
        <w:suppressAutoHyphens/>
        <w:jc w:val="both"/>
        <w:rPr>
          <w:sz w:val="22"/>
          <w:szCs w:val="22"/>
        </w:rPr>
      </w:pPr>
      <w:r w:rsidRPr="000B049C">
        <w:rPr>
          <w:sz w:val="22"/>
          <w:szCs w:val="22"/>
        </w:rPr>
        <w:t xml:space="preserve">Výška špecifických nákladov na každú z uvedených akcií (ďalej len „akcie“) sa teda určuje ako rozdiel medzi cenou ekologickej náhrady tohto konvenčne používaného tovaru a cenou </w:t>
      </w:r>
      <w:r w:rsidR="00C81C9C" w:rsidRPr="000B049C">
        <w:rPr>
          <w:sz w:val="22"/>
          <w:szCs w:val="22"/>
        </w:rPr>
        <w:t>tohto konvenčne používaného tovaru.</w:t>
      </w:r>
      <w:r w:rsidRPr="000B049C">
        <w:rPr>
          <w:sz w:val="22"/>
          <w:szCs w:val="22"/>
        </w:rPr>
        <w:t xml:space="preserve"> Cenu ekologickej náhrady, ktorú organizácia výrobcov v sektore ovocia a zeleniny podľa čl. 152 nariadenia (EÚ) č. 1308/2013 v platnom znení (ďalej len „organizácia výrobcov“) </w:t>
      </w:r>
      <w:r w:rsidRPr="000B049C">
        <w:rPr>
          <w:b/>
          <w:sz w:val="22"/>
          <w:szCs w:val="22"/>
        </w:rPr>
        <w:t xml:space="preserve">alebo jej člen </w:t>
      </w:r>
      <w:r w:rsidRPr="000B049C">
        <w:rPr>
          <w:sz w:val="22"/>
          <w:szCs w:val="22"/>
        </w:rPr>
        <w:t xml:space="preserve">pri realizácii operačného programu tejto organizácie výrobcov zaplatili, táto organizácia výrobcov Pôdohospodárskej platobnej agentúre (ďalej len „platobná agentúra“) deklaruje v rámci jednotlivých žiadostí o vyplatenie finančnej pomoci Európskej únie na financovanie jej operačného fondu (ďalej len „pomoc“), ku ktorým podľa čl. 12 ods. 2 vykonávacieho nariadenia Komisie (EÚ) 2017/892 z 13. marca 2017, ktorým sa stanovujú pravidlá uplatňovania nariadenia Európskeho parlamentu a Rady (EÚ) č. 1308/2013, pokiaľ ide o sektory ovocia a zeleniny a spracovaného ovocia a zeleniny (Ú. v. ES L 138 25.5.2017) a podľa § 4 ods. 5 písm. a) a 6 nariadenia vlády Slovenskej republiky č. 273/2017 Z. z. o podmienkach vykonávania niektorých opatrení spoločnej organizácie poľnohospodárskych trhov v sektore ovocia a zeleniny prikladá aj kópie dokladov o výdavkoch, ktoré ona alebo jej člen na zaplatenie ceny tejto ekologickej náhrady pri realizácii jej operačného programu vynaložili (ktorými sú účtovné doklady, ak sa nimi deklarujú výdavky osôb, ktoré vedú účtovníctvo), vrátane dokladov o úhrade týchto oprávnených výdavkov. Pri posudzovaní oprávnenosti takto </w:t>
      </w:r>
      <w:r w:rsidRPr="000B049C">
        <w:rPr>
          <w:sz w:val="22"/>
          <w:szCs w:val="22"/>
        </w:rPr>
        <w:lastRenderedPageBreak/>
        <w:t>deklarovaných výdavkov je potrebné brať ohľad na skutočnosť, že organizácie výrobcov nie sú pri zadávaní zákaziek na dodanie tovaru alebo služieb obstarávaných na účely realizácie ich operačných programov povinné postupovať ako verejný obstarávateľ podľa zákona č. 343/2015 Z. z. o verejnom obstarávaní a o zmene a doplnení niektorých zákonov v znení neskorších predpisov, ak nejde o zákazku na uskutočnenie stavebných prác alebo zákazku na poskytnutie služby, ktorá s týmito stavebnými prácami súvisí, ktorej predpokladaná hodnota je vyššia ako finančný limit pre nadlimitnú zákazku ustanovený všeobecne záväzným právnym predpisom Úradu pre verejné obstarávanie a na ktorú verejný obstarávateľ poskytne viac ako 50 % finančných prostriedkov (ďalej len „prostriedky“). Zároveň však treba brať ohľad aj na skutočnosť, že osoby, ktorým sa verejné prostriedky poskytujú, podľa § 19 ods. 3 zákona č. 523/2004 Z. z. o rozpočtových pravidlách verejnej správy a o zmene a doplnení niektorých zákonov v znení zákona č. 323/2007 Z. z. zodpovedajú za hospodárenie s nimi a sú povinné pri ich používaní zachovávať hospodárnosť, efektívnosť a účinnosť ich použitia.</w:t>
      </w:r>
    </w:p>
    <w:p w14:paraId="090BE7DD" w14:textId="77777777" w:rsidR="003D7BA0" w:rsidRPr="000B049C" w:rsidRDefault="003D7BA0" w:rsidP="003D7BA0">
      <w:pPr>
        <w:widowControl w:val="0"/>
        <w:pBdr>
          <w:bottom w:val="single" w:sz="4" w:space="1" w:color="auto"/>
        </w:pBdr>
        <w:suppressAutoHyphens/>
        <w:jc w:val="both"/>
        <w:rPr>
          <w:sz w:val="22"/>
          <w:szCs w:val="22"/>
        </w:rPr>
      </w:pPr>
    </w:p>
    <w:p w14:paraId="28CAB798" w14:textId="77777777" w:rsidR="00A045FC" w:rsidRPr="000B049C" w:rsidRDefault="00A045FC" w:rsidP="00A045FC">
      <w:pPr>
        <w:widowControl w:val="0"/>
        <w:pBdr>
          <w:bottom w:val="single" w:sz="4" w:space="1" w:color="auto"/>
        </w:pBdr>
        <w:suppressAutoHyphens/>
        <w:jc w:val="both"/>
        <w:rPr>
          <w:b/>
          <w:sz w:val="22"/>
          <w:szCs w:val="22"/>
        </w:rPr>
      </w:pPr>
      <w:r w:rsidRPr="000B049C">
        <w:rPr>
          <w:b/>
          <w:sz w:val="22"/>
          <w:szCs w:val="22"/>
        </w:rPr>
        <w:t xml:space="preserve">Výpočet paušálnych sadzieb osobitných nákladov je  možný podľa hypotetického príkladu                                pre ilustráciu:      </w:t>
      </w:r>
    </w:p>
    <w:p w14:paraId="03F1FF70" w14:textId="77777777" w:rsidR="00A045FC" w:rsidRPr="000B049C" w:rsidRDefault="00A045FC" w:rsidP="003D7BA0">
      <w:pPr>
        <w:widowControl w:val="0"/>
        <w:pBdr>
          <w:bottom w:val="single" w:sz="4" w:space="1" w:color="auto"/>
        </w:pBdr>
        <w:suppressAutoHyphens/>
        <w:jc w:val="both"/>
        <w:rPr>
          <w:sz w:val="22"/>
          <w:szCs w:val="22"/>
        </w:rPr>
      </w:pPr>
    </w:p>
    <w:p w14:paraId="75E12E85" w14:textId="69B700B7" w:rsidR="00A54DF7" w:rsidRPr="000B049C" w:rsidRDefault="00A54DF7" w:rsidP="001C368E">
      <w:pPr>
        <w:widowControl w:val="0"/>
        <w:pBdr>
          <w:bottom w:val="single" w:sz="4" w:space="1" w:color="auto"/>
        </w:pBdr>
        <w:suppressAutoHyphens/>
        <w:jc w:val="both"/>
        <w:rPr>
          <w:b/>
          <w:sz w:val="22"/>
          <w:szCs w:val="22"/>
        </w:rPr>
      </w:pPr>
      <w:r w:rsidRPr="000B049C">
        <w:rPr>
          <w:sz w:val="22"/>
          <w:szCs w:val="22"/>
        </w:rPr>
        <w:t>V</w:t>
      </w:r>
      <w:r w:rsidR="00092FEE" w:rsidRPr="000B049C">
        <w:rPr>
          <w:sz w:val="22"/>
          <w:szCs w:val="22"/>
        </w:rPr>
        <w:t xml:space="preserve">ýšku </w:t>
      </w:r>
      <w:r w:rsidR="00EB31F6" w:rsidRPr="000B049C">
        <w:rPr>
          <w:sz w:val="22"/>
          <w:szCs w:val="22"/>
        </w:rPr>
        <w:t xml:space="preserve">paušálnej sadzby </w:t>
      </w:r>
      <w:r w:rsidR="00092FEE" w:rsidRPr="000B049C">
        <w:rPr>
          <w:sz w:val="22"/>
          <w:szCs w:val="22"/>
        </w:rPr>
        <w:t>osobitných nákladov</w:t>
      </w:r>
      <w:r w:rsidR="00EB31F6" w:rsidRPr="000B049C">
        <w:rPr>
          <w:sz w:val="22"/>
          <w:szCs w:val="22"/>
        </w:rPr>
        <w:t xml:space="preserve"> na h</w:t>
      </w:r>
      <w:r w:rsidR="00A045FC" w:rsidRPr="000B049C">
        <w:rPr>
          <w:sz w:val="22"/>
          <w:szCs w:val="22"/>
        </w:rPr>
        <w:t>ektár</w:t>
      </w:r>
      <w:r w:rsidR="00092FEE" w:rsidRPr="000B049C">
        <w:rPr>
          <w:sz w:val="22"/>
          <w:szCs w:val="22"/>
        </w:rPr>
        <w:t xml:space="preserve"> </w:t>
      </w:r>
      <w:r w:rsidR="00092FEE" w:rsidRPr="000B049C">
        <w:rPr>
          <w:b/>
          <w:sz w:val="22"/>
          <w:szCs w:val="22"/>
        </w:rPr>
        <w:t xml:space="preserve">si </w:t>
      </w:r>
      <w:r w:rsidRPr="000B049C">
        <w:rPr>
          <w:b/>
          <w:sz w:val="22"/>
          <w:szCs w:val="22"/>
        </w:rPr>
        <w:t xml:space="preserve"> môže </w:t>
      </w:r>
      <w:r w:rsidR="00092FEE" w:rsidRPr="000B049C">
        <w:rPr>
          <w:b/>
          <w:sz w:val="22"/>
          <w:szCs w:val="22"/>
        </w:rPr>
        <w:t>žiadateľ  uv</w:t>
      </w:r>
      <w:r w:rsidRPr="000B049C">
        <w:rPr>
          <w:b/>
          <w:sz w:val="22"/>
          <w:szCs w:val="22"/>
        </w:rPr>
        <w:t>iesť</w:t>
      </w:r>
      <w:r w:rsidR="00092FEE" w:rsidRPr="000B049C">
        <w:rPr>
          <w:b/>
          <w:sz w:val="22"/>
          <w:szCs w:val="22"/>
        </w:rPr>
        <w:t xml:space="preserve"> vo svojom operačnom programe podľa  čl. 25 ods. 1 </w:t>
      </w:r>
      <w:proofErr w:type="spellStart"/>
      <w:r w:rsidR="00092FEE" w:rsidRPr="000B049C">
        <w:rPr>
          <w:b/>
          <w:sz w:val="22"/>
          <w:szCs w:val="22"/>
        </w:rPr>
        <w:t>písm</w:t>
      </w:r>
      <w:proofErr w:type="spellEnd"/>
      <w:r w:rsidR="00092FEE" w:rsidRPr="000B049C">
        <w:rPr>
          <w:b/>
          <w:sz w:val="22"/>
          <w:szCs w:val="22"/>
        </w:rPr>
        <w:t xml:space="preserve"> d) vykonávacieho nariadenia Komisie (EÚ)  2017/892</w:t>
      </w:r>
      <w:r w:rsidR="00092FEE" w:rsidRPr="000B049C">
        <w:rPr>
          <w:sz w:val="22"/>
          <w:szCs w:val="22"/>
        </w:rPr>
        <w:t xml:space="preserve"> z 13. marca 2017, ktorým sa stanovujú pravidlá uplatňovania nariadenia Európskeho parlamentu a Rady (EÚ)</w:t>
      </w:r>
      <w:r w:rsidR="00EB31F6" w:rsidRPr="000B049C">
        <w:rPr>
          <w:sz w:val="22"/>
          <w:szCs w:val="22"/>
        </w:rPr>
        <w:t xml:space="preserve"> </w:t>
      </w:r>
      <w:r w:rsidR="00092FEE" w:rsidRPr="000B049C">
        <w:rPr>
          <w:sz w:val="22"/>
          <w:szCs w:val="22"/>
        </w:rPr>
        <w:t xml:space="preserve">č. 1308/2013, pokiaľ ide o sektory ovocia a zeleniny a spracovaného ovocia a zeleniny v platnom znení (ďalej len „nariadenie Komisie (EÚ) 2017/892“) pri environmentálnom opatrení: </w:t>
      </w:r>
      <w:r w:rsidR="001C368E" w:rsidRPr="000B049C">
        <w:rPr>
          <w:sz w:val="22"/>
          <w:szCs w:val="22"/>
        </w:rPr>
        <w:t xml:space="preserve">  </w:t>
      </w:r>
      <w:r w:rsidR="00092FEE" w:rsidRPr="000B049C">
        <w:rPr>
          <w:sz w:val="22"/>
          <w:szCs w:val="22"/>
        </w:rPr>
        <w:t>„</w:t>
      </w:r>
      <w:r w:rsidR="001C368E" w:rsidRPr="000B049C">
        <w:rPr>
          <w:sz w:val="22"/>
          <w:szCs w:val="22"/>
        </w:rPr>
        <w:t>Aplikácia biologických prostriedkov na ochranu, zlepšenie rastu a kondície rastlín aj v konvenčnom pestovaní“ výškou rozdielu medzi cenou konvenčných a biologických prípravkov na ochranu rastlín</w:t>
      </w:r>
      <w:r w:rsidR="00092FEE" w:rsidRPr="000B049C">
        <w:rPr>
          <w:sz w:val="22"/>
          <w:szCs w:val="22"/>
        </w:rPr>
        <w:t xml:space="preserve">“. </w:t>
      </w:r>
      <w:r w:rsidRPr="000B049C">
        <w:rPr>
          <w:sz w:val="22"/>
          <w:szCs w:val="22"/>
        </w:rPr>
        <w:t xml:space="preserve"> </w:t>
      </w:r>
      <w:r w:rsidRPr="000B049C">
        <w:rPr>
          <w:b/>
          <w:sz w:val="22"/>
          <w:szCs w:val="22"/>
        </w:rPr>
        <w:t>Určovanie paušálnych sadzieb osobitných nákladov sa určuje pre každú plodinu zvlášť</w:t>
      </w:r>
      <w:r w:rsidR="00AC1141" w:rsidRPr="000B049C">
        <w:rPr>
          <w:b/>
          <w:sz w:val="22"/>
          <w:szCs w:val="22"/>
        </w:rPr>
        <w:t xml:space="preserve"> a</w:t>
      </w:r>
      <w:r w:rsidR="000E431E" w:rsidRPr="000B049C">
        <w:rPr>
          <w:b/>
          <w:sz w:val="22"/>
          <w:szCs w:val="22"/>
        </w:rPr>
        <w:t> </w:t>
      </w:r>
      <w:r w:rsidR="00AC1141" w:rsidRPr="000B049C">
        <w:rPr>
          <w:b/>
          <w:sz w:val="22"/>
          <w:szCs w:val="22"/>
        </w:rPr>
        <w:t>je</w:t>
      </w:r>
      <w:r w:rsidR="000E431E" w:rsidRPr="000B049C">
        <w:rPr>
          <w:b/>
          <w:sz w:val="22"/>
          <w:szCs w:val="22"/>
        </w:rPr>
        <w:t xml:space="preserve"> na</w:t>
      </w:r>
      <w:r w:rsidR="00AC1141" w:rsidRPr="000B049C">
        <w:rPr>
          <w:b/>
          <w:sz w:val="22"/>
          <w:szCs w:val="22"/>
        </w:rPr>
        <w:t xml:space="preserve"> </w:t>
      </w:r>
      <w:r w:rsidR="00EB31F6" w:rsidRPr="000B049C">
        <w:rPr>
          <w:b/>
          <w:sz w:val="22"/>
          <w:szCs w:val="22"/>
        </w:rPr>
        <w:t>z</w:t>
      </w:r>
      <w:r w:rsidR="00AC1141" w:rsidRPr="000B049C">
        <w:rPr>
          <w:b/>
          <w:sz w:val="22"/>
          <w:szCs w:val="22"/>
        </w:rPr>
        <w:t>áklade definícii</w:t>
      </w:r>
      <w:r w:rsidR="00EB31F6" w:rsidRPr="000B049C">
        <w:rPr>
          <w:b/>
          <w:sz w:val="22"/>
          <w:szCs w:val="22"/>
        </w:rPr>
        <w:t xml:space="preserve"> pojmu „osobitné náklady“ v čl. 2 písm. m) delegovaného nariadenia (EÚ) 2017/891</w:t>
      </w:r>
      <w:r w:rsidRPr="000B049C">
        <w:rPr>
          <w:sz w:val="22"/>
          <w:szCs w:val="22"/>
        </w:rPr>
        <w:t>.</w:t>
      </w:r>
      <w:r w:rsidR="00EB31F6" w:rsidRPr="000B049C">
        <w:rPr>
          <w:sz w:val="22"/>
          <w:szCs w:val="22"/>
        </w:rPr>
        <w:t xml:space="preserve"> Osobitné náklady na vykonanie akcií sa určujú ako súčet špecifických nákladov a  výšky strát na príjme tých členov organizácie výrobcov, ktorí použitím ekologickej náhrady konvenčne používaného tovaru v rámci vykonávania akcií túto stratu na príjme utrpeli (ďalej len „strata na príjm</w:t>
      </w:r>
      <w:r w:rsidR="00A13F06" w:rsidRPr="000B049C">
        <w:rPr>
          <w:sz w:val="22"/>
          <w:szCs w:val="22"/>
        </w:rPr>
        <w:t>e</w:t>
      </w:r>
      <w:r w:rsidR="00EB31F6" w:rsidRPr="000B049C">
        <w:rPr>
          <w:sz w:val="22"/>
          <w:szCs w:val="22"/>
        </w:rPr>
        <w:t>“</w:t>
      </w:r>
      <w:r w:rsidR="000E431E" w:rsidRPr="000B049C">
        <w:rPr>
          <w:sz w:val="22"/>
          <w:szCs w:val="22"/>
        </w:rPr>
        <w:t>, výpočet uvedený nižšie</w:t>
      </w:r>
      <w:r w:rsidR="00EB31F6" w:rsidRPr="000B049C">
        <w:rPr>
          <w:sz w:val="22"/>
          <w:szCs w:val="22"/>
        </w:rPr>
        <w:t>), po odpočítaní dodatočných príjmov alebo úspor nákladov tých členov, ktoré použitím uvedenej ekologickej náhrady naopak dosiahli.</w:t>
      </w:r>
      <w:r w:rsidR="00EB31F6" w:rsidRPr="000B049C">
        <w:rPr>
          <w:b/>
          <w:sz w:val="22"/>
          <w:szCs w:val="22"/>
        </w:rPr>
        <w:t xml:space="preserve">  </w:t>
      </w:r>
      <w:r w:rsidRPr="000B049C">
        <w:rPr>
          <w:b/>
          <w:sz w:val="22"/>
          <w:szCs w:val="22"/>
        </w:rPr>
        <w:t xml:space="preserve">  </w:t>
      </w:r>
    </w:p>
    <w:p w14:paraId="5AC2A56B" w14:textId="77777777" w:rsidR="00EB31F6" w:rsidRPr="000B049C" w:rsidRDefault="00EB31F6" w:rsidP="001C368E">
      <w:pPr>
        <w:widowControl w:val="0"/>
        <w:pBdr>
          <w:bottom w:val="single" w:sz="4" w:space="1" w:color="auto"/>
        </w:pBdr>
        <w:suppressAutoHyphens/>
        <w:jc w:val="both"/>
        <w:rPr>
          <w:sz w:val="22"/>
          <w:szCs w:val="22"/>
        </w:rPr>
      </w:pPr>
    </w:p>
    <w:p w14:paraId="7850D282" w14:textId="77777777" w:rsidR="00A54DF7" w:rsidRPr="000B049C" w:rsidRDefault="00A54DF7" w:rsidP="001C368E">
      <w:pPr>
        <w:widowControl w:val="0"/>
        <w:pBdr>
          <w:bottom w:val="single" w:sz="4" w:space="1" w:color="auto"/>
        </w:pBdr>
        <w:suppressAutoHyphens/>
        <w:jc w:val="both"/>
        <w:rPr>
          <w:sz w:val="22"/>
          <w:szCs w:val="22"/>
        </w:rPr>
      </w:pPr>
    </w:p>
    <w:tbl>
      <w:tblPr>
        <w:tblStyle w:val="Mriekatabuky"/>
        <w:tblW w:w="0" w:type="auto"/>
        <w:tblLook w:val="04A0" w:firstRow="1" w:lastRow="0" w:firstColumn="1" w:lastColumn="0" w:noHBand="0" w:noVBand="1"/>
      </w:tblPr>
      <w:tblGrid>
        <w:gridCol w:w="2265"/>
        <w:gridCol w:w="2265"/>
        <w:gridCol w:w="2266"/>
        <w:gridCol w:w="2266"/>
      </w:tblGrid>
      <w:tr w:rsidR="00A54DF7" w:rsidRPr="000B049C" w14:paraId="37920E66" w14:textId="77777777" w:rsidTr="00A54DF7">
        <w:tc>
          <w:tcPr>
            <w:tcW w:w="2265" w:type="dxa"/>
          </w:tcPr>
          <w:p w14:paraId="4FA8C0DC" w14:textId="77777777" w:rsidR="00A54DF7" w:rsidRPr="000B049C" w:rsidRDefault="00A54DF7" w:rsidP="001C368E">
            <w:pPr>
              <w:widowControl w:val="0"/>
              <w:suppressAutoHyphens/>
              <w:jc w:val="both"/>
              <w:rPr>
                <w:sz w:val="22"/>
                <w:szCs w:val="22"/>
              </w:rPr>
            </w:pPr>
          </w:p>
        </w:tc>
        <w:tc>
          <w:tcPr>
            <w:tcW w:w="2265" w:type="dxa"/>
          </w:tcPr>
          <w:p w14:paraId="17FB86AD" w14:textId="77777777" w:rsidR="00A54DF7" w:rsidRPr="000B049C" w:rsidRDefault="00A54DF7" w:rsidP="00A54DF7">
            <w:pPr>
              <w:pStyle w:val="Odsekzoznamu"/>
              <w:widowControl w:val="0"/>
              <w:numPr>
                <w:ilvl w:val="0"/>
                <w:numId w:val="1"/>
              </w:numPr>
              <w:tabs>
                <w:tab w:val="left" w:pos="316"/>
              </w:tabs>
              <w:suppressAutoHyphens/>
              <w:ind w:left="32" w:firstLine="0"/>
              <w:rPr>
                <w:sz w:val="22"/>
                <w:szCs w:val="22"/>
              </w:rPr>
            </w:pPr>
            <w:r w:rsidRPr="000B049C">
              <w:rPr>
                <w:sz w:val="22"/>
                <w:szCs w:val="22"/>
              </w:rPr>
              <w:t>ekologická náhrada  konvenčne používaného prípravku na ochranu rastlín</w:t>
            </w:r>
          </w:p>
        </w:tc>
        <w:tc>
          <w:tcPr>
            <w:tcW w:w="2266" w:type="dxa"/>
          </w:tcPr>
          <w:p w14:paraId="276A4AA7" w14:textId="77777777" w:rsidR="00A54DF7" w:rsidRPr="000B049C" w:rsidRDefault="00A54DF7" w:rsidP="00543B81">
            <w:pPr>
              <w:pStyle w:val="Odsekzoznamu"/>
              <w:widowControl w:val="0"/>
              <w:numPr>
                <w:ilvl w:val="0"/>
                <w:numId w:val="1"/>
              </w:numPr>
              <w:tabs>
                <w:tab w:val="left" w:pos="319"/>
              </w:tabs>
              <w:suppressAutoHyphens/>
              <w:ind w:left="0" w:firstLine="0"/>
              <w:jc w:val="both"/>
              <w:rPr>
                <w:sz w:val="22"/>
                <w:szCs w:val="22"/>
              </w:rPr>
            </w:pPr>
            <w:r w:rsidRPr="000B049C">
              <w:rPr>
                <w:sz w:val="22"/>
                <w:szCs w:val="22"/>
              </w:rPr>
              <w:t>konvenčne používan</w:t>
            </w:r>
            <w:r w:rsidR="00543B81" w:rsidRPr="000B049C">
              <w:rPr>
                <w:sz w:val="22"/>
                <w:szCs w:val="22"/>
              </w:rPr>
              <w:t>ý</w:t>
            </w:r>
            <w:r w:rsidRPr="000B049C">
              <w:rPr>
                <w:sz w:val="22"/>
                <w:szCs w:val="22"/>
              </w:rPr>
              <w:t xml:space="preserve"> príprav</w:t>
            </w:r>
            <w:r w:rsidR="00543B81" w:rsidRPr="000B049C">
              <w:rPr>
                <w:sz w:val="22"/>
                <w:szCs w:val="22"/>
              </w:rPr>
              <w:t>ok</w:t>
            </w:r>
            <w:r w:rsidRPr="000B049C">
              <w:rPr>
                <w:sz w:val="22"/>
                <w:szCs w:val="22"/>
              </w:rPr>
              <w:t xml:space="preserve"> na ochranu rastlín</w:t>
            </w:r>
          </w:p>
        </w:tc>
        <w:tc>
          <w:tcPr>
            <w:tcW w:w="2266" w:type="dxa"/>
          </w:tcPr>
          <w:p w14:paraId="33BEBE2A" w14:textId="00BD0EFD" w:rsidR="00A54DF7" w:rsidRPr="000B049C" w:rsidRDefault="00543B81" w:rsidP="00543B81">
            <w:pPr>
              <w:pStyle w:val="Odsekzoznamu"/>
              <w:widowControl w:val="0"/>
              <w:numPr>
                <w:ilvl w:val="0"/>
                <w:numId w:val="1"/>
              </w:numPr>
              <w:suppressAutoHyphens/>
              <w:jc w:val="both"/>
              <w:rPr>
                <w:sz w:val="22"/>
                <w:szCs w:val="22"/>
              </w:rPr>
            </w:pPr>
            <w:r w:rsidRPr="000B049C">
              <w:rPr>
                <w:sz w:val="22"/>
                <w:szCs w:val="22"/>
              </w:rPr>
              <w:t>rozdiel</w:t>
            </w:r>
            <w:r w:rsidR="000E431E" w:rsidRPr="000B049C">
              <w:rPr>
                <w:sz w:val="22"/>
                <w:szCs w:val="22"/>
              </w:rPr>
              <w:t xml:space="preserve"> (A-B)</w:t>
            </w:r>
          </w:p>
        </w:tc>
      </w:tr>
      <w:tr w:rsidR="00A54DF7" w:rsidRPr="000B049C" w14:paraId="56E0F1C3" w14:textId="77777777" w:rsidTr="00A54DF7">
        <w:tc>
          <w:tcPr>
            <w:tcW w:w="2265" w:type="dxa"/>
          </w:tcPr>
          <w:p w14:paraId="793F4148" w14:textId="77777777" w:rsidR="00A54DF7" w:rsidRPr="000B049C" w:rsidRDefault="00716815" w:rsidP="00716815">
            <w:pPr>
              <w:pStyle w:val="Odsekzoznamu"/>
              <w:widowControl w:val="0"/>
              <w:numPr>
                <w:ilvl w:val="0"/>
                <w:numId w:val="2"/>
              </w:numPr>
              <w:tabs>
                <w:tab w:val="left" w:pos="313"/>
              </w:tabs>
              <w:suppressAutoHyphens/>
              <w:ind w:left="0" w:firstLine="0"/>
              <w:jc w:val="both"/>
              <w:rPr>
                <w:sz w:val="22"/>
                <w:szCs w:val="22"/>
              </w:rPr>
            </w:pPr>
            <w:r w:rsidRPr="000B049C">
              <w:rPr>
                <w:sz w:val="22"/>
                <w:szCs w:val="22"/>
              </w:rPr>
              <w:t xml:space="preserve">vstupné náklady </w:t>
            </w:r>
            <w:r w:rsidR="00672310" w:rsidRPr="000B049C">
              <w:rPr>
                <w:sz w:val="22"/>
                <w:szCs w:val="22"/>
              </w:rPr>
              <w:t xml:space="preserve"> prípravk</w:t>
            </w:r>
            <w:r w:rsidRPr="000B049C">
              <w:rPr>
                <w:sz w:val="22"/>
                <w:szCs w:val="22"/>
              </w:rPr>
              <w:t>y</w:t>
            </w:r>
            <w:r w:rsidR="00672310" w:rsidRPr="000B049C">
              <w:rPr>
                <w:sz w:val="22"/>
                <w:szCs w:val="22"/>
              </w:rPr>
              <w:t xml:space="preserve"> na ha</w:t>
            </w:r>
            <w:r w:rsidR="007C28AB" w:rsidRPr="000B049C">
              <w:rPr>
                <w:rStyle w:val="Odkaznavysvetlivku"/>
                <w:sz w:val="22"/>
                <w:szCs w:val="22"/>
              </w:rPr>
              <w:endnoteReference w:id="1"/>
            </w:r>
          </w:p>
        </w:tc>
        <w:tc>
          <w:tcPr>
            <w:tcW w:w="2265" w:type="dxa"/>
          </w:tcPr>
          <w:p w14:paraId="0AB86C62" w14:textId="77777777" w:rsidR="00A54DF7" w:rsidRPr="000B049C" w:rsidRDefault="00543B81" w:rsidP="001C368E">
            <w:pPr>
              <w:widowControl w:val="0"/>
              <w:suppressAutoHyphens/>
              <w:jc w:val="both"/>
              <w:rPr>
                <w:sz w:val="22"/>
                <w:szCs w:val="22"/>
              </w:rPr>
            </w:pPr>
            <w:r w:rsidRPr="000B049C">
              <w:rPr>
                <w:sz w:val="22"/>
                <w:szCs w:val="22"/>
              </w:rPr>
              <w:t>8 000 EUR/ha</w:t>
            </w:r>
          </w:p>
        </w:tc>
        <w:tc>
          <w:tcPr>
            <w:tcW w:w="2266" w:type="dxa"/>
          </w:tcPr>
          <w:p w14:paraId="60229D94" w14:textId="77777777" w:rsidR="00A54DF7" w:rsidRPr="000B049C" w:rsidRDefault="00543B81" w:rsidP="001C368E">
            <w:pPr>
              <w:widowControl w:val="0"/>
              <w:suppressAutoHyphens/>
              <w:jc w:val="both"/>
              <w:rPr>
                <w:sz w:val="22"/>
                <w:szCs w:val="22"/>
              </w:rPr>
            </w:pPr>
            <w:r w:rsidRPr="000B049C">
              <w:rPr>
                <w:sz w:val="22"/>
                <w:szCs w:val="22"/>
              </w:rPr>
              <w:t>4 000 EUR/ha</w:t>
            </w:r>
          </w:p>
        </w:tc>
        <w:tc>
          <w:tcPr>
            <w:tcW w:w="2266" w:type="dxa"/>
          </w:tcPr>
          <w:p w14:paraId="2B041687" w14:textId="77777777" w:rsidR="00A54DF7" w:rsidRPr="000B049C" w:rsidRDefault="00543B81" w:rsidP="001C368E">
            <w:pPr>
              <w:widowControl w:val="0"/>
              <w:suppressAutoHyphens/>
              <w:jc w:val="both"/>
              <w:rPr>
                <w:sz w:val="22"/>
                <w:szCs w:val="22"/>
              </w:rPr>
            </w:pPr>
            <w:r w:rsidRPr="000B049C">
              <w:rPr>
                <w:sz w:val="22"/>
                <w:szCs w:val="22"/>
              </w:rPr>
              <w:t>4 000 EUR/ha</w:t>
            </w:r>
          </w:p>
        </w:tc>
      </w:tr>
      <w:tr w:rsidR="00A54DF7" w:rsidRPr="000B049C" w14:paraId="4CA4E395" w14:textId="77777777" w:rsidTr="00A54DF7">
        <w:tc>
          <w:tcPr>
            <w:tcW w:w="2265" w:type="dxa"/>
          </w:tcPr>
          <w:p w14:paraId="0EA7B2F0" w14:textId="77777777" w:rsidR="00A54DF7" w:rsidRPr="000B049C" w:rsidRDefault="00672310" w:rsidP="005E1819">
            <w:pPr>
              <w:pStyle w:val="Odsekzoznamu"/>
              <w:widowControl w:val="0"/>
              <w:numPr>
                <w:ilvl w:val="0"/>
                <w:numId w:val="2"/>
              </w:numPr>
              <w:tabs>
                <w:tab w:val="left" w:pos="313"/>
              </w:tabs>
              <w:suppressAutoHyphens/>
              <w:ind w:left="0" w:firstLine="0"/>
              <w:jc w:val="both"/>
              <w:rPr>
                <w:sz w:val="22"/>
                <w:szCs w:val="22"/>
              </w:rPr>
            </w:pPr>
            <w:r w:rsidRPr="000B049C">
              <w:rPr>
                <w:sz w:val="22"/>
                <w:szCs w:val="22"/>
              </w:rPr>
              <w:t>úroda</w:t>
            </w:r>
            <w:r w:rsidR="00716815" w:rsidRPr="000B049C">
              <w:rPr>
                <w:rStyle w:val="Odkaznavysvetlivku"/>
                <w:sz w:val="22"/>
                <w:szCs w:val="22"/>
              </w:rPr>
              <w:endnoteReference w:id="2"/>
            </w:r>
            <w:r w:rsidRPr="000B049C">
              <w:rPr>
                <w:sz w:val="22"/>
                <w:szCs w:val="22"/>
              </w:rPr>
              <w:t xml:space="preserve"> </w:t>
            </w:r>
            <w:r w:rsidR="007C28AB" w:rsidRPr="000B049C">
              <w:rPr>
                <w:sz w:val="22"/>
                <w:szCs w:val="22"/>
              </w:rPr>
              <w:t xml:space="preserve"> </w:t>
            </w:r>
          </w:p>
        </w:tc>
        <w:tc>
          <w:tcPr>
            <w:tcW w:w="2265" w:type="dxa"/>
          </w:tcPr>
          <w:p w14:paraId="528866A5" w14:textId="77777777" w:rsidR="00A54DF7" w:rsidRPr="000B049C" w:rsidRDefault="005E1819" w:rsidP="005E1819">
            <w:pPr>
              <w:widowControl w:val="0"/>
              <w:suppressAutoHyphens/>
              <w:jc w:val="both"/>
              <w:rPr>
                <w:sz w:val="22"/>
                <w:szCs w:val="22"/>
              </w:rPr>
            </w:pPr>
            <w:r w:rsidRPr="000B049C">
              <w:rPr>
                <w:sz w:val="22"/>
                <w:szCs w:val="22"/>
              </w:rPr>
              <w:t>400 t/ha</w:t>
            </w:r>
          </w:p>
        </w:tc>
        <w:tc>
          <w:tcPr>
            <w:tcW w:w="2266" w:type="dxa"/>
          </w:tcPr>
          <w:p w14:paraId="55D6B064" w14:textId="77777777" w:rsidR="00A54DF7" w:rsidRPr="000B049C" w:rsidRDefault="005E1819" w:rsidP="001C368E">
            <w:pPr>
              <w:widowControl w:val="0"/>
              <w:suppressAutoHyphens/>
              <w:jc w:val="both"/>
              <w:rPr>
                <w:sz w:val="22"/>
                <w:szCs w:val="22"/>
              </w:rPr>
            </w:pPr>
            <w:r w:rsidRPr="000B049C">
              <w:rPr>
                <w:sz w:val="22"/>
                <w:szCs w:val="22"/>
              </w:rPr>
              <w:t>500 t/ha</w:t>
            </w:r>
          </w:p>
        </w:tc>
        <w:tc>
          <w:tcPr>
            <w:tcW w:w="2266" w:type="dxa"/>
          </w:tcPr>
          <w:p w14:paraId="2839CE1C" w14:textId="77777777" w:rsidR="00A54DF7" w:rsidRPr="000B049C" w:rsidRDefault="005E1819" w:rsidP="001C368E">
            <w:pPr>
              <w:widowControl w:val="0"/>
              <w:suppressAutoHyphens/>
              <w:jc w:val="both"/>
              <w:rPr>
                <w:sz w:val="22"/>
                <w:szCs w:val="22"/>
              </w:rPr>
            </w:pPr>
            <w:r w:rsidRPr="000B049C">
              <w:rPr>
                <w:sz w:val="22"/>
                <w:szCs w:val="22"/>
              </w:rPr>
              <w:t>100 t/ha</w:t>
            </w:r>
          </w:p>
        </w:tc>
      </w:tr>
      <w:tr w:rsidR="00A54DF7" w:rsidRPr="000B049C" w14:paraId="15F89679" w14:textId="77777777" w:rsidTr="00A54DF7">
        <w:tc>
          <w:tcPr>
            <w:tcW w:w="2265" w:type="dxa"/>
          </w:tcPr>
          <w:p w14:paraId="6CBBBC0B" w14:textId="77777777" w:rsidR="00A54DF7" w:rsidRPr="000B049C" w:rsidRDefault="007C28AB" w:rsidP="00672310">
            <w:pPr>
              <w:pStyle w:val="Odsekzoznamu"/>
              <w:widowControl w:val="0"/>
              <w:numPr>
                <w:ilvl w:val="0"/>
                <w:numId w:val="2"/>
              </w:numPr>
              <w:tabs>
                <w:tab w:val="left" w:pos="313"/>
              </w:tabs>
              <w:suppressAutoHyphens/>
              <w:ind w:left="0" w:firstLine="0"/>
              <w:jc w:val="both"/>
              <w:rPr>
                <w:sz w:val="22"/>
                <w:szCs w:val="22"/>
              </w:rPr>
            </w:pPr>
            <w:r w:rsidRPr="000B049C">
              <w:rPr>
                <w:sz w:val="22"/>
                <w:szCs w:val="22"/>
              </w:rPr>
              <w:t>cena predan</w:t>
            </w:r>
            <w:r w:rsidR="00672310" w:rsidRPr="000B049C">
              <w:rPr>
                <w:sz w:val="22"/>
                <w:szCs w:val="22"/>
              </w:rPr>
              <w:t>ých</w:t>
            </w:r>
            <w:r w:rsidRPr="000B049C">
              <w:rPr>
                <w:sz w:val="22"/>
                <w:szCs w:val="22"/>
              </w:rPr>
              <w:t xml:space="preserve"> výrobk</w:t>
            </w:r>
            <w:r w:rsidR="00672310" w:rsidRPr="000B049C">
              <w:rPr>
                <w:sz w:val="22"/>
                <w:szCs w:val="22"/>
              </w:rPr>
              <w:t>ov</w:t>
            </w:r>
            <w:r w:rsidRPr="000B049C">
              <w:rPr>
                <w:sz w:val="22"/>
                <w:szCs w:val="22"/>
              </w:rPr>
              <w:t xml:space="preserve"> na trhu</w:t>
            </w:r>
            <w:r w:rsidR="00672310" w:rsidRPr="000B049C">
              <w:rPr>
                <w:sz w:val="22"/>
                <w:szCs w:val="22"/>
              </w:rPr>
              <w:t xml:space="preserve">  </w:t>
            </w:r>
          </w:p>
        </w:tc>
        <w:tc>
          <w:tcPr>
            <w:tcW w:w="2265" w:type="dxa"/>
          </w:tcPr>
          <w:p w14:paraId="7929E7EE" w14:textId="77777777" w:rsidR="00A54DF7" w:rsidRPr="000B049C" w:rsidRDefault="005E1819" w:rsidP="005E1819">
            <w:pPr>
              <w:widowControl w:val="0"/>
              <w:suppressAutoHyphens/>
              <w:jc w:val="both"/>
              <w:rPr>
                <w:sz w:val="22"/>
                <w:szCs w:val="22"/>
              </w:rPr>
            </w:pPr>
            <w:r w:rsidRPr="000B049C">
              <w:rPr>
                <w:sz w:val="22"/>
                <w:szCs w:val="22"/>
              </w:rPr>
              <w:t>600 EUR/t</w:t>
            </w:r>
          </w:p>
        </w:tc>
        <w:tc>
          <w:tcPr>
            <w:tcW w:w="2266" w:type="dxa"/>
          </w:tcPr>
          <w:p w14:paraId="57B39211" w14:textId="77777777" w:rsidR="00A54DF7" w:rsidRPr="000B049C" w:rsidRDefault="005E1819" w:rsidP="001C368E">
            <w:pPr>
              <w:widowControl w:val="0"/>
              <w:suppressAutoHyphens/>
              <w:jc w:val="both"/>
              <w:rPr>
                <w:sz w:val="22"/>
                <w:szCs w:val="22"/>
              </w:rPr>
            </w:pPr>
            <w:r w:rsidRPr="000B049C">
              <w:rPr>
                <w:sz w:val="22"/>
                <w:szCs w:val="22"/>
              </w:rPr>
              <w:t>500 EUR/t</w:t>
            </w:r>
          </w:p>
        </w:tc>
        <w:tc>
          <w:tcPr>
            <w:tcW w:w="2266" w:type="dxa"/>
          </w:tcPr>
          <w:p w14:paraId="1EF772B7" w14:textId="77777777" w:rsidR="00A54DF7" w:rsidRPr="000B049C" w:rsidRDefault="005E1819" w:rsidP="001C368E">
            <w:pPr>
              <w:widowControl w:val="0"/>
              <w:suppressAutoHyphens/>
              <w:jc w:val="both"/>
              <w:rPr>
                <w:sz w:val="22"/>
                <w:szCs w:val="22"/>
              </w:rPr>
            </w:pPr>
            <w:r w:rsidRPr="000B049C">
              <w:rPr>
                <w:sz w:val="22"/>
                <w:szCs w:val="22"/>
              </w:rPr>
              <w:t>100 EUR/t</w:t>
            </w:r>
          </w:p>
        </w:tc>
      </w:tr>
      <w:tr w:rsidR="00A54DF7" w:rsidRPr="000B049C" w14:paraId="6DFF3E32" w14:textId="77777777" w:rsidTr="00A54DF7">
        <w:tc>
          <w:tcPr>
            <w:tcW w:w="2265" w:type="dxa"/>
          </w:tcPr>
          <w:p w14:paraId="7CB15813" w14:textId="77777777" w:rsidR="00A54DF7" w:rsidRPr="000B049C" w:rsidRDefault="00672310" w:rsidP="00672310">
            <w:pPr>
              <w:pStyle w:val="Odsekzoznamu"/>
              <w:widowControl w:val="0"/>
              <w:numPr>
                <w:ilvl w:val="0"/>
                <w:numId w:val="2"/>
              </w:numPr>
              <w:tabs>
                <w:tab w:val="left" w:pos="313"/>
              </w:tabs>
              <w:suppressAutoHyphens/>
              <w:ind w:left="0" w:firstLine="0"/>
              <w:jc w:val="both"/>
              <w:rPr>
                <w:sz w:val="22"/>
                <w:szCs w:val="22"/>
              </w:rPr>
            </w:pPr>
            <w:r w:rsidRPr="000B049C">
              <w:rPr>
                <w:sz w:val="22"/>
                <w:szCs w:val="22"/>
              </w:rPr>
              <w:t xml:space="preserve">Tržba za vlastné výrobky </w:t>
            </w:r>
            <w:r w:rsidR="005E1819" w:rsidRPr="000B049C">
              <w:rPr>
                <w:sz w:val="22"/>
                <w:szCs w:val="22"/>
              </w:rPr>
              <w:t>(2x3)</w:t>
            </w:r>
            <w:r w:rsidR="007C28AB" w:rsidRPr="000B049C">
              <w:rPr>
                <w:sz w:val="22"/>
                <w:szCs w:val="22"/>
              </w:rPr>
              <w:t xml:space="preserve"> </w:t>
            </w:r>
            <w:r w:rsidRPr="000B049C">
              <w:rPr>
                <w:rStyle w:val="Odkaznavysvetlivku"/>
                <w:sz w:val="22"/>
                <w:szCs w:val="22"/>
              </w:rPr>
              <w:endnoteReference w:id="3"/>
            </w:r>
          </w:p>
        </w:tc>
        <w:tc>
          <w:tcPr>
            <w:tcW w:w="2265" w:type="dxa"/>
          </w:tcPr>
          <w:p w14:paraId="3A8CD2FA" w14:textId="77777777" w:rsidR="00A54DF7" w:rsidRPr="000B049C" w:rsidRDefault="005E1819" w:rsidP="001C368E">
            <w:pPr>
              <w:widowControl w:val="0"/>
              <w:suppressAutoHyphens/>
              <w:jc w:val="both"/>
              <w:rPr>
                <w:sz w:val="22"/>
                <w:szCs w:val="22"/>
              </w:rPr>
            </w:pPr>
            <w:r w:rsidRPr="000B049C">
              <w:rPr>
                <w:sz w:val="22"/>
                <w:szCs w:val="22"/>
              </w:rPr>
              <w:t>240 000 EUR/ha</w:t>
            </w:r>
          </w:p>
        </w:tc>
        <w:tc>
          <w:tcPr>
            <w:tcW w:w="2266" w:type="dxa"/>
          </w:tcPr>
          <w:p w14:paraId="4786A73F" w14:textId="77777777" w:rsidR="00A54DF7" w:rsidRPr="000B049C" w:rsidRDefault="005E1819" w:rsidP="005E1819">
            <w:pPr>
              <w:widowControl w:val="0"/>
              <w:suppressAutoHyphens/>
              <w:jc w:val="both"/>
              <w:rPr>
                <w:sz w:val="22"/>
                <w:szCs w:val="22"/>
              </w:rPr>
            </w:pPr>
            <w:r w:rsidRPr="000B049C">
              <w:rPr>
                <w:sz w:val="22"/>
                <w:szCs w:val="22"/>
              </w:rPr>
              <w:t>250 000 EUR/ha</w:t>
            </w:r>
          </w:p>
        </w:tc>
        <w:tc>
          <w:tcPr>
            <w:tcW w:w="2266" w:type="dxa"/>
          </w:tcPr>
          <w:p w14:paraId="13CB0158" w14:textId="77777777" w:rsidR="00A54DF7" w:rsidRPr="000B049C" w:rsidRDefault="005E1819" w:rsidP="001C368E">
            <w:pPr>
              <w:widowControl w:val="0"/>
              <w:suppressAutoHyphens/>
              <w:jc w:val="both"/>
              <w:rPr>
                <w:sz w:val="22"/>
                <w:szCs w:val="22"/>
              </w:rPr>
            </w:pPr>
            <w:r w:rsidRPr="000B049C">
              <w:rPr>
                <w:sz w:val="22"/>
                <w:szCs w:val="22"/>
              </w:rPr>
              <w:t>10 000 EUR/ha</w:t>
            </w:r>
          </w:p>
        </w:tc>
      </w:tr>
      <w:tr w:rsidR="00A54DF7" w:rsidRPr="000B049C" w14:paraId="57C4E964" w14:textId="77777777" w:rsidTr="00A54DF7">
        <w:tc>
          <w:tcPr>
            <w:tcW w:w="2265" w:type="dxa"/>
          </w:tcPr>
          <w:p w14:paraId="7401EAF6" w14:textId="77777777" w:rsidR="00A54DF7" w:rsidRPr="000B049C" w:rsidRDefault="005E1819" w:rsidP="005E1819">
            <w:pPr>
              <w:pStyle w:val="Odsekzoznamu"/>
              <w:widowControl w:val="0"/>
              <w:numPr>
                <w:ilvl w:val="0"/>
                <w:numId w:val="2"/>
              </w:numPr>
              <w:tabs>
                <w:tab w:val="left" w:pos="313"/>
              </w:tabs>
              <w:suppressAutoHyphens/>
              <w:ind w:left="29" w:firstLine="0"/>
              <w:jc w:val="both"/>
              <w:rPr>
                <w:sz w:val="22"/>
                <w:szCs w:val="22"/>
              </w:rPr>
            </w:pPr>
            <w:r w:rsidRPr="000B049C">
              <w:rPr>
                <w:sz w:val="22"/>
                <w:szCs w:val="22"/>
              </w:rPr>
              <w:t xml:space="preserve"> Vstupné náklady</w:t>
            </w:r>
            <w:r w:rsidR="00672310" w:rsidRPr="000B049C">
              <w:rPr>
                <w:rStyle w:val="Odkaznavysvetlivku"/>
                <w:sz w:val="22"/>
                <w:szCs w:val="22"/>
              </w:rPr>
              <w:endnoteReference w:id="4"/>
            </w:r>
          </w:p>
        </w:tc>
        <w:tc>
          <w:tcPr>
            <w:tcW w:w="2265" w:type="dxa"/>
          </w:tcPr>
          <w:p w14:paraId="089FE7AA" w14:textId="77777777" w:rsidR="00A54DF7" w:rsidRPr="000B049C" w:rsidRDefault="005E1819" w:rsidP="005E1819">
            <w:pPr>
              <w:widowControl w:val="0"/>
              <w:suppressAutoHyphens/>
              <w:jc w:val="both"/>
              <w:rPr>
                <w:sz w:val="22"/>
                <w:szCs w:val="22"/>
              </w:rPr>
            </w:pPr>
            <w:r w:rsidRPr="000B049C">
              <w:rPr>
                <w:sz w:val="22"/>
                <w:szCs w:val="22"/>
              </w:rPr>
              <w:t>45 000 EUR/ha</w:t>
            </w:r>
          </w:p>
        </w:tc>
        <w:tc>
          <w:tcPr>
            <w:tcW w:w="2266" w:type="dxa"/>
          </w:tcPr>
          <w:p w14:paraId="798727D1" w14:textId="77777777" w:rsidR="00A54DF7" w:rsidRPr="000B049C" w:rsidRDefault="005E1819" w:rsidP="005E1819">
            <w:pPr>
              <w:widowControl w:val="0"/>
              <w:suppressAutoHyphens/>
              <w:jc w:val="both"/>
              <w:rPr>
                <w:sz w:val="22"/>
                <w:szCs w:val="22"/>
              </w:rPr>
            </w:pPr>
            <w:r w:rsidRPr="000B049C">
              <w:rPr>
                <w:sz w:val="22"/>
                <w:szCs w:val="22"/>
              </w:rPr>
              <w:t>40 000 EUR/ha</w:t>
            </w:r>
          </w:p>
        </w:tc>
        <w:tc>
          <w:tcPr>
            <w:tcW w:w="2266" w:type="dxa"/>
          </w:tcPr>
          <w:p w14:paraId="510F6C91" w14:textId="77777777" w:rsidR="00A54DF7" w:rsidRPr="000B049C" w:rsidRDefault="005E1819" w:rsidP="005E1819">
            <w:pPr>
              <w:widowControl w:val="0"/>
              <w:suppressAutoHyphens/>
              <w:jc w:val="both"/>
              <w:rPr>
                <w:sz w:val="22"/>
                <w:szCs w:val="22"/>
              </w:rPr>
            </w:pPr>
            <w:r w:rsidRPr="000B049C">
              <w:rPr>
                <w:sz w:val="22"/>
                <w:szCs w:val="22"/>
              </w:rPr>
              <w:t>5 000 EUR/ha</w:t>
            </w:r>
          </w:p>
        </w:tc>
      </w:tr>
      <w:tr w:rsidR="005E1819" w:rsidRPr="000B049C" w14:paraId="4A08B425" w14:textId="77777777" w:rsidTr="00A54DF7">
        <w:tc>
          <w:tcPr>
            <w:tcW w:w="2265" w:type="dxa"/>
          </w:tcPr>
          <w:p w14:paraId="383A7EB1" w14:textId="6FF4B70E" w:rsidR="005E1819" w:rsidRPr="000B049C" w:rsidRDefault="005E1819" w:rsidP="000E431E">
            <w:pPr>
              <w:pStyle w:val="Odsekzoznamu"/>
              <w:widowControl w:val="0"/>
              <w:numPr>
                <w:ilvl w:val="0"/>
                <w:numId w:val="2"/>
              </w:numPr>
              <w:tabs>
                <w:tab w:val="left" w:pos="313"/>
              </w:tabs>
              <w:suppressAutoHyphens/>
              <w:ind w:left="29" w:hanging="29"/>
              <w:jc w:val="both"/>
              <w:rPr>
                <w:sz w:val="22"/>
                <w:szCs w:val="22"/>
              </w:rPr>
            </w:pPr>
            <w:r w:rsidRPr="000B049C">
              <w:rPr>
                <w:sz w:val="22"/>
                <w:szCs w:val="22"/>
              </w:rPr>
              <w:t>Čistý zisk (4</w:t>
            </w:r>
            <w:r w:rsidR="000E431E" w:rsidRPr="000B049C">
              <w:rPr>
                <w:sz w:val="22"/>
                <w:szCs w:val="22"/>
              </w:rPr>
              <w:t>-</w:t>
            </w:r>
            <w:r w:rsidRPr="000B049C">
              <w:rPr>
                <w:sz w:val="22"/>
                <w:szCs w:val="22"/>
              </w:rPr>
              <w:t>5)</w:t>
            </w:r>
          </w:p>
        </w:tc>
        <w:tc>
          <w:tcPr>
            <w:tcW w:w="2265" w:type="dxa"/>
          </w:tcPr>
          <w:p w14:paraId="371B0C37" w14:textId="77777777" w:rsidR="005E1819" w:rsidRPr="000B049C" w:rsidRDefault="005E1819" w:rsidP="005E1819">
            <w:pPr>
              <w:widowControl w:val="0"/>
              <w:suppressAutoHyphens/>
              <w:jc w:val="both"/>
              <w:rPr>
                <w:sz w:val="22"/>
                <w:szCs w:val="22"/>
              </w:rPr>
            </w:pPr>
            <w:r w:rsidRPr="000B049C">
              <w:rPr>
                <w:sz w:val="22"/>
                <w:szCs w:val="22"/>
              </w:rPr>
              <w:t>195 000 EUR/ha</w:t>
            </w:r>
          </w:p>
        </w:tc>
        <w:tc>
          <w:tcPr>
            <w:tcW w:w="2266" w:type="dxa"/>
          </w:tcPr>
          <w:p w14:paraId="23B07180" w14:textId="77777777" w:rsidR="005E1819" w:rsidRPr="000B049C" w:rsidRDefault="005E1819" w:rsidP="005E1819">
            <w:pPr>
              <w:widowControl w:val="0"/>
              <w:suppressAutoHyphens/>
              <w:jc w:val="both"/>
              <w:rPr>
                <w:sz w:val="22"/>
                <w:szCs w:val="22"/>
              </w:rPr>
            </w:pPr>
            <w:r w:rsidRPr="000B049C">
              <w:rPr>
                <w:sz w:val="22"/>
                <w:szCs w:val="22"/>
              </w:rPr>
              <w:t>210 000 EUR/ha</w:t>
            </w:r>
          </w:p>
        </w:tc>
        <w:tc>
          <w:tcPr>
            <w:tcW w:w="2266" w:type="dxa"/>
          </w:tcPr>
          <w:p w14:paraId="42FEF4F8" w14:textId="02F75C55" w:rsidR="005E1819" w:rsidRPr="000B049C" w:rsidRDefault="005E1819" w:rsidP="005E1819">
            <w:pPr>
              <w:widowControl w:val="0"/>
              <w:suppressAutoHyphens/>
              <w:jc w:val="both"/>
              <w:rPr>
                <w:sz w:val="22"/>
                <w:szCs w:val="22"/>
              </w:rPr>
            </w:pPr>
            <w:r w:rsidRPr="000B049C">
              <w:rPr>
                <w:sz w:val="22"/>
                <w:szCs w:val="22"/>
              </w:rPr>
              <w:t>15 000 EUR/ha</w:t>
            </w:r>
            <w:r w:rsidR="000E431E" w:rsidRPr="000B049C">
              <w:rPr>
                <w:sz w:val="22"/>
                <w:szCs w:val="22"/>
              </w:rPr>
              <w:t xml:space="preserve"> </w:t>
            </w:r>
          </w:p>
        </w:tc>
      </w:tr>
      <w:tr w:rsidR="00A54DF7" w:rsidRPr="000B049C" w14:paraId="2F418B04" w14:textId="77777777" w:rsidTr="00A54DF7">
        <w:tc>
          <w:tcPr>
            <w:tcW w:w="2265" w:type="dxa"/>
          </w:tcPr>
          <w:p w14:paraId="4AF3D86A" w14:textId="15432AAE" w:rsidR="00A54DF7" w:rsidRPr="000B049C" w:rsidRDefault="005E1819" w:rsidP="005E1819">
            <w:pPr>
              <w:pStyle w:val="Odsekzoznamu"/>
              <w:widowControl w:val="0"/>
              <w:numPr>
                <w:ilvl w:val="0"/>
                <w:numId w:val="2"/>
              </w:numPr>
              <w:tabs>
                <w:tab w:val="left" w:pos="171"/>
              </w:tabs>
              <w:suppressAutoHyphens/>
              <w:ind w:left="29" w:hanging="29"/>
              <w:jc w:val="both"/>
              <w:rPr>
                <w:sz w:val="22"/>
                <w:szCs w:val="22"/>
              </w:rPr>
            </w:pPr>
            <w:r w:rsidRPr="000B049C">
              <w:rPr>
                <w:sz w:val="22"/>
                <w:szCs w:val="22"/>
              </w:rPr>
              <w:t>Výška oprávnených výdavkov</w:t>
            </w:r>
            <w:r w:rsidR="000E431E" w:rsidRPr="000B049C">
              <w:rPr>
                <w:sz w:val="22"/>
                <w:szCs w:val="22"/>
              </w:rPr>
              <w:t xml:space="preserve"> (1+6)</w:t>
            </w:r>
          </w:p>
        </w:tc>
        <w:tc>
          <w:tcPr>
            <w:tcW w:w="2265" w:type="dxa"/>
          </w:tcPr>
          <w:p w14:paraId="07C246B5" w14:textId="77777777" w:rsidR="00A54DF7" w:rsidRPr="000B049C" w:rsidRDefault="00A54DF7" w:rsidP="001C368E">
            <w:pPr>
              <w:widowControl w:val="0"/>
              <w:suppressAutoHyphens/>
              <w:jc w:val="both"/>
              <w:rPr>
                <w:sz w:val="22"/>
                <w:szCs w:val="22"/>
              </w:rPr>
            </w:pPr>
          </w:p>
        </w:tc>
        <w:tc>
          <w:tcPr>
            <w:tcW w:w="2266" w:type="dxa"/>
          </w:tcPr>
          <w:p w14:paraId="431F4C52" w14:textId="77777777" w:rsidR="00A54DF7" w:rsidRPr="000B049C" w:rsidRDefault="00A54DF7" w:rsidP="001C368E">
            <w:pPr>
              <w:widowControl w:val="0"/>
              <w:suppressAutoHyphens/>
              <w:jc w:val="both"/>
              <w:rPr>
                <w:sz w:val="22"/>
                <w:szCs w:val="22"/>
              </w:rPr>
            </w:pPr>
          </w:p>
        </w:tc>
        <w:tc>
          <w:tcPr>
            <w:tcW w:w="2266" w:type="dxa"/>
          </w:tcPr>
          <w:p w14:paraId="22BFB2F8" w14:textId="77777777" w:rsidR="00A54DF7" w:rsidRPr="000B049C" w:rsidRDefault="005E1819" w:rsidP="005E1819">
            <w:pPr>
              <w:widowControl w:val="0"/>
              <w:suppressAutoHyphens/>
              <w:jc w:val="both"/>
              <w:rPr>
                <w:sz w:val="22"/>
                <w:szCs w:val="22"/>
              </w:rPr>
            </w:pPr>
            <w:r w:rsidRPr="000B049C">
              <w:rPr>
                <w:sz w:val="22"/>
                <w:szCs w:val="22"/>
              </w:rPr>
              <w:t>19 000 EUR/ha</w:t>
            </w:r>
          </w:p>
        </w:tc>
      </w:tr>
    </w:tbl>
    <w:p w14:paraId="007EF7C4" w14:textId="77777777" w:rsidR="003D7BA0" w:rsidRPr="000B049C" w:rsidRDefault="003D7BA0" w:rsidP="00EB31F6">
      <w:pPr>
        <w:widowControl w:val="0"/>
        <w:pBdr>
          <w:bottom w:val="single" w:sz="4" w:space="1" w:color="auto"/>
        </w:pBdr>
        <w:suppressAutoHyphens/>
        <w:jc w:val="both"/>
        <w:rPr>
          <w:sz w:val="22"/>
          <w:szCs w:val="22"/>
        </w:rPr>
      </w:pPr>
    </w:p>
    <w:sectPr w:rsidR="003D7BA0" w:rsidRPr="000B049C" w:rsidSect="007C28AB">
      <w:headerReference w:type="default" r:id="rId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9A312" w14:textId="77777777" w:rsidR="000446D8" w:rsidRDefault="000446D8" w:rsidP="007C28AB">
      <w:r>
        <w:separator/>
      </w:r>
    </w:p>
  </w:endnote>
  <w:endnote w:type="continuationSeparator" w:id="0">
    <w:p w14:paraId="31E7786F" w14:textId="77777777" w:rsidR="000446D8" w:rsidRDefault="000446D8" w:rsidP="007C28AB">
      <w:r>
        <w:continuationSeparator/>
      </w:r>
    </w:p>
  </w:endnote>
  <w:endnote w:id="1">
    <w:p w14:paraId="59DFE95C" w14:textId="77777777" w:rsidR="007C28AB" w:rsidRDefault="007C28AB">
      <w:pPr>
        <w:pStyle w:val="Textvysvetlivky"/>
      </w:pPr>
      <w:r>
        <w:rPr>
          <w:rStyle w:val="Odkaznavysvetlivku"/>
        </w:rPr>
        <w:endnoteRef/>
      </w:r>
      <w:r>
        <w:t xml:space="preserve"> </w:t>
      </w:r>
      <w:r w:rsidR="00716815">
        <w:t xml:space="preserve">Vstupné náklady = množstvo prípravku x cena prípravku, cena </w:t>
      </w:r>
      <w:r>
        <w:t>sa určuje podľa prvej časti usmernenia</w:t>
      </w:r>
      <w:r w:rsidR="00672310">
        <w:t xml:space="preserve"> resp. podľa prílohy č.</w:t>
      </w:r>
      <w:r w:rsidR="00A13F06">
        <w:t xml:space="preserve"> </w:t>
      </w:r>
      <w:r w:rsidR="00672310">
        <w:t>9 príručky pre žiadateľov, množstva podľa priemernej spotreby prípravkov za tri predchádzajúce</w:t>
      </w:r>
      <w:r w:rsidR="00716815">
        <w:t xml:space="preserve"> kalendárne</w:t>
      </w:r>
      <w:r w:rsidR="00672310">
        <w:t xml:space="preserve"> roky</w:t>
      </w:r>
      <w:r w:rsidR="00810413">
        <w:t>;</w:t>
      </w:r>
      <w:r w:rsidR="00716815">
        <w:t xml:space="preserve"> </w:t>
      </w:r>
    </w:p>
  </w:endnote>
  <w:endnote w:id="2">
    <w:p w14:paraId="7E0858AB" w14:textId="77777777" w:rsidR="00716815" w:rsidRDefault="00716815">
      <w:pPr>
        <w:pStyle w:val="Textvysvetlivky"/>
      </w:pPr>
      <w:r>
        <w:rPr>
          <w:rStyle w:val="Odkaznavysvetlivku"/>
        </w:rPr>
        <w:endnoteRef/>
      </w:r>
      <w:r>
        <w:t xml:space="preserve"> </w:t>
      </w:r>
      <w:r>
        <w:t>Priemerná úroda za tri predchádzajúce kalendárne roky</w:t>
      </w:r>
      <w:r w:rsidR="00810413">
        <w:t>;</w:t>
      </w:r>
    </w:p>
  </w:endnote>
  <w:endnote w:id="3">
    <w:p w14:paraId="213E87B1" w14:textId="77777777" w:rsidR="00672310" w:rsidRDefault="00672310">
      <w:pPr>
        <w:pStyle w:val="Textvysvetlivky"/>
      </w:pPr>
      <w:r>
        <w:rPr>
          <w:rStyle w:val="Odkaznavysvetlivku"/>
        </w:rPr>
        <w:endnoteRef/>
      </w:r>
      <w:r>
        <w:t xml:space="preserve"> </w:t>
      </w:r>
      <w:r>
        <w:t xml:space="preserve">Podložené </w:t>
      </w:r>
      <w:r w:rsidR="00C92586">
        <w:t>údajmi z</w:t>
      </w:r>
      <w:r w:rsidR="001C07C4">
        <w:t> </w:t>
      </w:r>
      <w:r w:rsidR="00C92586">
        <w:t>účtovníctva</w:t>
      </w:r>
      <w:r w:rsidR="001C07C4">
        <w:t xml:space="preserve"> čl</w:t>
      </w:r>
      <w:bookmarkStart w:id="0" w:name="_GoBack"/>
      <w:bookmarkEnd w:id="0"/>
      <w:r w:rsidR="001C07C4">
        <w:t>ena OV</w:t>
      </w:r>
      <w:r>
        <w:t xml:space="preserve">, priemerná hodnota za tri predchádzajúce </w:t>
      </w:r>
      <w:r w:rsidR="00716815">
        <w:t xml:space="preserve">kalendárne </w:t>
      </w:r>
      <w:r>
        <w:t>roky</w:t>
      </w:r>
    </w:p>
  </w:endnote>
  <w:endnote w:id="4">
    <w:p w14:paraId="76E8569B" w14:textId="77777777" w:rsidR="00BE10D6" w:rsidRDefault="00672310">
      <w:pPr>
        <w:pStyle w:val="Textvysvetlivky"/>
      </w:pPr>
      <w:r>
        <w:rPr>
          <w:rStyle w:val="Odkaznavysvetlivku"/>
        </w:rPr>
        <w:endnoteRef/>
      </w:r>
      <w:r>
        <w:t xml:space="preserve"> </w:t>
      </w:r>
      <w:r>
        <w:t xml:space="preserve">Podložené </w:t>
      </w:r>
      <w:r w:rsidR="00C92586">
        <w:t>údajmi z</w:t>
      </w:r>
      <w:r w:rsidR="001C07C4">
        <w:t> </w:t>
      </w:r>
      <w:r w:rsidR="00C92586">
        <w:t>účtovníctva</w:t>
      </w:r>
      <w:r w:rsidR="001C07C4">
        <w:t xml:space="preserve"> člena OV</w:t>
      </w:r>
      <w:r>
        <w:t>, priemerná hodnota za tri predchádzajúce</w:t>
      </w:r>
      <w:r w:rsidR="00716815">
        <w:t xml:space="preserve"> kalendárne</w:t>
      </w:r>
      <w:r>
        <w:t xml:space="preserve"> roky</w:t>
      </w:r>
    </w:p>
    <w:p w14:paraId="4A4F792F" w14:textId="77777777" w:rsidR="00BE10D6" w:rsidRDefault="00BE10D6">
      <w:pPr>
        <w:pStyle w:val="Textvysvetlivky"/>
      </w:pPr>
    </w:p>
    <w:p w14:paraId="65E8EA19" w14:textId="77777777" w:rsidR="00AC1141" w:rsidRDefault="00AC1141">
      <w:pPr>
        <w:pStyle w:val="Textvysvetlivky"/>
      </w:pPr>
      <w:r w:rsidRPr="00EB31F6">
        <w:rPr>
          <w:b/>
        </w:rPr>
        <w:t>Žiadateľ pri žiadosti o platbu priloží účtovné doklady preukazujúce deklarované množstvo a cenu prípravku, dodávateľa vo výpočte paušálnej sadzby</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5AEC3" w14:textId="77777777" w:rsidR="000446D8" w:rsidRDefault="000446D8" w:rsidP="007C28AB">
      <w:r>
        <w:separator/>
      </w:r>
    </w:p>
  </w:footnote>
  <w:footnote w:type="continuationSeparator" w:id="0">
    <w:p w14:paraId="56C41835" w14:textId="77777777" w:rsidR="000446D8" w:rsidRDefault="000446D8" w:rsidP="007C2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9" w:type="dxa"/>
      <w:tblInd w:w="-252" w:type="dxa"/>
      <w:tblBorders>
        <w:bottom w:val="single" w:sz="4" w:space="0" w:color="auto"/>
      </w:tblBorders>
      <w:tblLook w:val="0000" w:firstRow="0" w:lastRow="0" w:firstColumn="0" w:lastColumn="0" w:noHBand="0" w:noVBand="0"/>
    </w:tblPr>
    <w:tblGrid>
      <w:gridCol w:w="5214"/>
      <w:gridCol w:w="1559"/>
      <w:gridCol w:w="3396"/>
    </w:tblGrid>
    <w:tr w:rsidR="00FC123B" w14:paraId="1BB7561F" w14:textId="77777777" w:rsidTr="007F09EB">
      <w:trPr>
        <w:trHeight w:val="852"/>
      </w:trPr>
      <w:tc>
        <w:tcPr>
          <w:tcW w:w="5214" w:type="dxa"/>
          <w:tcBorders>
            <w:top w:val="nil"/>
            <w:left w:val="nil"/>
            <w:bottom w:val="single" w:sz="4" w:space="0" w:color="auto"/>
            <w:right w:val="nil"/>
          </w:tcBorders>
        </w:tcPr>
        <w:p w14:paraId="15FD465C" w14:textId="77777777" w:rsidR="00FC123B" w:rsidRPr="005415AE" w:rsidRDefault="00FC123B" w:rsidP="00FC123B">
          <w:pPr>
            <w:pStyle w:val="Hlavika"/>
            <w:rPr>
              <w:b/>
              <w:sz w:val="56"/>
            </w:rPr>
          </w:pPr>
          <w:r w:rsidRPr="005415AE">
            <w:rPr>
              <w:b/>
              <w:sz w:val="40"/>
            </w:rPr>
            <w:t>PPA</w:t>
          </w:r>
        </w:p>
        <w:p w14:paraId="3080ECFF" w14:textId="77777777" w:rsidR="00FC123B" w:rsidRDefault="00FC123B" w:rsidP="00FC123B">
          <w:pPr>
            <w:pStyle w:val="Psmo"/>
            <w:rPr>
              <w:rFonts w:ascii="Times New Roman" w:hAnsi="Times New Roman" w:cs="Times New Roman"/>
              <w:b/>
              <w:sz w:val="28"/>
            </w:rPr>
          </w:pPr>
          <w:r>
            <w:rPr>
              <w:rFonts w:ascii="Times New Roman" w:hAnsi="Times New Roman" w:cs="Times New Roman"/>
              <w:b/>
              <w:sz w:val="28"/>
            </w:rPr>
            <w:t>Pôdohospodárska platobná agentúra</w:t>
          </w:r>
        </w:p>
        <w:p w14:paraId="5D10C79B" w14:textId="77777777" w:rsidR="00FC123B" w:rsidRDefault="00FC123B" w:rsidP="00FC123B">
          <w:pPr>
            <w:pStyle w:val="Psmo"/>
            <w:rPr>
              <w:rFonts w:ascii="Times New Roman" w:hAnsi="Times New Roman" w:cs="Times New Roman"/>
              <w:b/>
            </w:rPr>
          </w:pPr>
          <w:r>
            <w:rPr>
              <w:rFonts w:ascii="Times New Roman" w:hAnsi="Times New Roman" w:cs="Times New Roman"/>
              <w:b/>
            </w:rPr>
            <w:t xml:space="preserve">Sekcia organizácie trhu a štátnej pomoci </w:t>
          </w:r>
        </w:p>
      </w:tc>
      <w:tc>
        <w:tcPr>
          <w:tcW w:w="1559" w:type="dxa"/>
          <w:tcBorders>
            <w:top w:val="nil"/>
            <w:left w:val="nil"/>
            <w:bottom w:val="single" w:sz="4" w:space="0" w:color="auto"/>
            <w:right w:val="nil"/>
          </w:tcBorders>
        </w:tcPr>
        <w:p w14:paraId="67C65E65" w14:textId="77777777" w:rsidR="00FC123B" w:rsidRDefault="00FC123B" w:rsidP="00FC123B">
          <w:pPr>
            <w:pStyle w:val="Hlavika"/>
            <w:rPr>
              <w:rFonts w:ascii="Bookman Old Style" w:hAnsi="Bookman Old Style" w:cs="Tahoma"/>
            </w:rPr>
          </w:pPr>
        </w:p>
      </w:tc>
      <w:tc>
        <w:tcPr>
          <w:tcW w:w="3396" w:type="dxa"/>
          <w:tcBorders>
            <w:top w:val="nil"/>
            <w:left w:val="nil"/>
            <w:bottom w:val="single" w:sz="4" w:space="0" w:color="auto"/>
            <w:right w:val="nil"/>
          </w:tcBorders>
        </w:tcPr>
        <w:p w14:paraId="402047C5" w14:textId="77777777" w:rsidR="00FC123B" w:rsidRDefault="00FC123B" w:rsidP="00FC123B">
          <w:pPr>
            <w:pStyle w:val="Hlavika"/>
          </w:pPr>
        </w:p>
        <w:p w14:paraId="316E2CCE" w14:textId="77777777" w:rsidR="00FC123B" w:rsidRDefault="00FC123B" w:rsidP="00FC123B">
          <w:pPr>
            <w:pStyle w:val="Hlavika"/>
            <w:jc w:val="right"/>
            <w:rPr>
              <w:b/>
              <w:sz w:val="20"/>
            </w:rPr>
          </w:pPr>
          <w:r>
            <w:rPr>
              <w:b/>
              <w:sz w:val="20"/>
            </w:rPr>
            <w:t>Hraničná 12</w:t>
          </w:r>
        </w:p>
        <w:p w14:paraId="6AB9A550" w14:textId="77777777" w:rsidR="00FC123B" w:rsidRDefault="00FC123B" w:rsidP="00FC123B">
          <w:pPr>
            <w:pStyle w:val="Hlavika"/>
            <w:jc w:val="right"/>
            <w:rPr>
              <w:b/>
              <w:sz w:val="20"/>
            </w:rPr>
          </w:pPr>
          <w:r>
            <w:rPr>
              <w:b/>
              <w:sz w:val="20"/>
            </w:rPr>
            <w:t>815 26 Bratislava</w:t>
          </w:r>
        </w:p>
        <w:p w14:paraId="6F07DD07" w14:textId="77777777" w:rsidR="00FC123B" w:rsidRDefault="00FC123B" w:rsidP="00FC123B">
          <w:pPr>
            <w:pStyle w:val="Hlavika"/>
            <w:jc w:val="right"/>
          </w:pPr>
        </w:p>
      </w:tc>
    </w:tr>
  </w:tbl>
  <w:p w14:paraId="636FB169" w14:textId="77777777" w:rsidR="00FC123B" w:rsidRDefault="00FC123B" w:rsidP="00FC123B">
    <w:pPr>
      <w:pStyle w:val="Hlavika"/>
    </w:pPr>
  </w:p>
  <w:p w14:paraId="4EF5F44B" w14:textId="77777777" w:rsidR="00FC123B" w:rsidRDefault="00FC123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F75FD3"/>
    <w:multiLevelType w:val="hybridMultilevel"/>
    <w:tmpl w:val="A0FC5E7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77105F5"/>
    <w:multiLevelType w:val="hybridMultilevel"/>
    <w:tmpl w:val="E0C0A7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BA0"/>
    <w:rsid w:val="000446D8"/>
    <w:rsid w:val="00092FEE"/>
    <w:rsid w:val="000B049C"/>
    <w:rsid w:val="000E431E"/>
    <w:rsid w:val="001C07C4"/>
    <w:rsid w:val="001C368E"/>
    <w:rsid w:val="00251EBD"/>
    <w:rsid w:val="00254BE6"/>
    <w:rsid w:val="003D7BA0"/>
    <w:rsid w:val="00543B81"/>
    <w:rsid w:val="005E1819"/>
    <w:rsid w:val="00657482"/>
    <w:rsid w:val="00672310"/>
    <w:rsid w:val="00700C5E"/>
    <w:rsid w:val="00716815"/>
    <w:rsid w:val="00730A1D"/>
    <w:rsid w:val="007C28AB"/>
    <w:rsid w:val="00810413"/>
    <w:rsid w:val="008D5D6E"/>
    <w:rsid w:val="00A045FC"/>
    <w:rsid w:val="00A13F06"/>
    <w:rsid w:val="00A54DF7"/>
    <w:rsid w:val="00AC1141"/>
    <w:rsid w:val="00AC499C"/>
    <w:rsid w:val="00B12FBA"/>
    <w:rsid w:val="00BE10D6"/>
    <w:rsid w:val="00C81C9C"/>
    <w:rsid w:val="00C92586"/>
    <w:rsid w:val="00DE31A2"/>
    <w:rsid w:val="00EB31F6"/>
    <w:rsid w:val="00F661BC"/>
    <w:rsid w:val="00F97203"/>
    <w:rsid w:val="00FC12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9F8F8"/>
  <w15:chartTrackingRefBased/>
  <w15:docId w15:val="{2543BD67-D671-4531-AB8A-4980D7D8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D7BA0"/>
    <w:pPr>
      <w:spacing w:after="0" w:line="240"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uiPriority w:val="9"/>
    <w:semiHidden/>
    <w:unhideWhenUsed/>
    <w:qFormat/>
    <w:rsid w:val="00FC123B"/>
    <w:pPr>
      <w:keepNext/>
      <w:keepLines/>
      <w:spacing w:before="40"/>
      <w:outlineLvl w:val="2"/>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A54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A54DF7"/>
    <w:pPr>
      <w:ind w:left="720"/>
      <w:contextualSpacing/>
    </w:pPr>
  </w:style>
  <w:style w:type="paragraph" w:styleId="Textvysvetlivky">
    <w:name w:val="endnote text"/>
    <w:basedOn w:val="Normlny"/>
    <w:link w:val="TextvysvetlivkyChar"/>
    <w:uiPriority w:val="99"/>
    <w:semiHidden/>
    <w:unhideWhenUsed/>
    <w:rsid w:val="007C28AB"/>
    <w:rPr>
      <w:sz w:val="20"/>
      <w:szCs w:val="20"/>
    </w:rPr>
  </w:style>
  <w:style w:type="character" w:customStyle="1" w:styleId="TextvysvetlivkyChar">
    <w:name w:val="Text vysvetlivky Char"/>
    <w:basedOn w:val="Predvolenpsmoodseku"/>
    <w:link w:val="Textvysvetlivky"/>
    <w:uiPriority w:val="99"/>
    <w:semiHidden/>
    <w:rsid w:val="007C28AB"/>
    <w:rPr>
      <w:rFonts w:ascii="Times New Roman" w:eastAsia="Times New Roman" w:hAnsi="Times New Roman" w:cs="Times New Roman"/>
      <w:sz w:val="20"/>
      <w:szCs w:val="20"/>
      <w:lang w:eastAsia="sk-SK"/>
    </w:rPr>
  </w:style>
  <w:style w:type="character" w:styleId="Odkaznavysvetlivku">
    <w:name w:val="endnote reference"/>
    <w:basedOn w:val="Predvolenpsmoodseku"/>
    <w:uiPriority w:val="99"/>
    <w:semiHidden/>
    <w:unhideWhenUsed/>
    <w:rsid w:val="007C28AB"/>
    <w:rPr>
      <w:vertAlign w:val="superscript"/>
    </w:rPr>
  </w:style>
  <w:style w:type="paragraph" w:styleId="Textpoznmkypodiarou">
    <w:name w:val="footnote text"/>
    <w:basedOn w:val="Normlny"/>
    <w:link w:val="TextpoznmkypodiarouChar"/>
    <w:uiPriority w:val="99"/>
    <w:semiHidden/>
    <w:unhideWhenUsed/>
    <w:rsid w:val="00672310"/>
    <w:rPr>
      <w:sz w:val="20"/>
      <w:szCs w:val="20"/>
    </w:rPr>
  </w:style>
  <w:style w:type="character" w:customStyle="1" w:styleId="TextpoznmkypodiarouChar">
    <w:name w:val="Text poznámky pod čiarou Char"/>
    <w:basedOn w:val="Predvolenpsmoodseku"/>
    <w:link w:val="Textpoznmkypodiarou"/>
    <w:uiPriority w:val="99"/>
    <w:semiHidden/>
    <w:rsid w:val="00672310"/>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672310"/>
    <w:rPr>
      <w:vertAlign w:val="superscript"/>
    </w:rPr>
  </w:style>
  <w:style w:type="paragraph" w:styleId="Textbubliny">
    <w:name w:val="Balloon Text"/>
    <w:basedOn w:val="Normlny"/>
    <w:link w:val="TextbublinyChar"/>
    <w:uiPriority w:val="99"/>
    <w:semiHidden/>
    <w:unhideWhenUsed/>
    <w:rsid w:val="001C07C4"/>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07C4"/>
    <w:rPr>
      <w:rFonts w:ascii="Segoe UI" w:eastAsia="Times New Roman" w:hAnsi="Segoe UI" w:cs="Segoe UI"/>
      <w:sz w:val="18"/>
      <w:szCs w:val="18"/>
      <w:lang w:eastAsia="sk-SK"/>
    </w:rPr>
  </w:style>
  <w:style w:type="paragraph" w:styleId="Hlavika">
    <w:name w:val="header"/>
    <w:aliases w:val="Záhlaví Char Char Char,Záhlaví Char Char"/>
    <w:basedOn w:val="Normlny"/>
    <w:link w:val="HlavikaChar"/>
    <w:unhideWhenUsed/>
    <w:rsid w:val="00FC123B"/>
    <w:pPr>
      <w:tabs>
        <w:tab w:val="center" w:pos="4536"/>
        <w:tab w:val="right" w:pos="9072"/>
      </w:tabs>
    </w:pPr>
  </w:style>
  <w:style w:type="character" w:customStyle="1" w:styleId="HlavikaChar">
    <w:name w:val="Hlavička Char"/>
    <w:aliases w:val="Záhlaví Char Char Char Char,Záhlaví Char Char Char1"/>
    <w:basedOn w:val="Predvolenpsmoodseku"/>
    <w:link w:val="Hlavika"/>
    <w:rsid w:val="00FC123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C123B"/>
    <w:pPr>
      <w:tabs>
        <w:tab w:val="center" w:pos="4536"/>
        <w:tab w:val="right" w:pos="9072"/>
      </w:tabs>
    </w:pPr>
  </w:style>
  <w:style w:type="character" w:customStyle="1" w:styleId="PtaChar">
    <w:name w:val="Päta Char"/>
    <w:basedOn w:val="Predvolenpsmoodseku"/>
    <w:link w:val="Pta"/>
    <w:uiPriority w:val="99"/>
    <w:rsid w:val="00FC123B"/>
    <w:rPr>
      <w:rFonts w:ascii="Times New Roman" w:eastAsia="Times New Roman" w:hAnsi="Times New Roman" w:cs="Times New Roman"/>
      <w:sz w:val="24"/>
      <w:szCs w:val="24"/>
      <w:lang w:eastAsia="sk-SK"/>
    </w:rPr>
  </w:style>
  <w:style w:type="paragraph" w:customStyle="1" w:styleId="Psmo">
    <w:name w:val="Písmo"/>
    <w:basedOn w:val="Nadpis3"/>
    <w:rsid w:val="00FC123B"/>
    <w:pPr>
      <w:keepLines w:val="0"/>
      <w:spacing w:before="0"/>
    </w:pPr>
    <w:rPr>
      <w:rFonts w:ascii="Arial" w:eastAsia="Times New Roman" w:hAnsi="Arial" w:cs="Arial"/>
      <w:bCs/>
      <w:color w:val="auto"/>
      <w:lang w:eastAsia="cs-CZ"/>
    </w:rPr>
  </w:style>
  <w:style w:type="character" w:customStyle="1" w:styleId="Nadpis3Char">
    <w:name w:val="Nadpis 3 Char"/>
    <w:basedOn w:val="Predvolenpsmoodseku"/>
    <w:link w:val="Nadpis3"/>
    <w:uiPriority w:val="9"/>
    <w:semiHidden/>
    <w:rsid w:val="00FC123B"/>
    <w:rPr>
      <w:rFonts w:asciiTheme="majorHAnsi" w:eastAsiaTheme="majorEastAsia" w:hAnsiTheme="majorHAnsi" w:cstheme="majorBidi"/>
      <w:color w:val="1F4D78" w:themeColor="accent1" w:themeShade="7F"/>
      <w:sz w:val="24"/>
      <w:szCs w:val="24"/>
      <w:lang w:eastAsia="sk-SK"/>
    </w:rPr>
  </w:style>
  <w:style w:type="character" w:styleId="Odkaznakomentr">
    <w:name w:val="annotation reference"/>
    <w:basedOn w:val="Predvolenpsmoodseku"/>
    <w:uiPriority w:val="99"/>
    <w:semiHidden/>
    <w:unhideWhenUsed/>
    <w:rsid w:val="00A13F06"/>
    <w:rPr>
      <w:sz w:val="16"/>
      <w:szCs w:val="16"/>
    </w:rPr>
  </w:style>
  <w:style w:type="paragraph" w:styleId="Textkomentra">
    <w:name w:val="annotation text"/>
    <w:basedOn w:val="Normlny"/>
    <w:link w:val="TextkomentraChar"/>
    <w:uiPriority w:val="99"/>
    <w:semiHidden/>
    <w:unhideWhenUsed/>
    <w:rsid w:val="00A13F06"/>
    <w:rPr>
      <w:sz w:val="20"/>
      <w:szCs w:val="20"/>
    </w:rPr>
  </w:style>
  <w:style w:type="character" w:customStyle="1" w:styleId="TextkomentraChar">
    <w:name w:val="Text komentára Char"/>
    <w:basedOn w:val="Predvolenpsmoodseku"/>
    <w:link w:val="Textkomentra"/>
    <w:uiPriority w:val="99"/>
    <w:semiHidden/>
    <w:rsid w:val="00A13F06"/>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13F06"/>
    <w:rPr>
      <w:b/>
      <w:bCs/>
    </w:rPr>
  </w:style>
  <w:style w:type="character" w:customStyle="1" w:styleId="PredmetkomentraChar">
    <w:name w:val="Predmet komentára Char"/>
    <w:basedOn w:val="TextkomentraChar"/>
    <w:link w:val="Predmetkomentra"/>
    <w:uiPriority w:val="99"/>
    <w:semiHidden/>
    <w:rsid w:val="00A13F06"/>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D1ACE-9C8C-419A-AB26-1239962E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1028</Words>
  <Characters>5861</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Kardelis Ondrej</dc:creator>
  <cp:keywords/>
  <dc:description/>
  <cp:lastModifiedBy>Stachová Miroslava</cp:lastModifiedBy>
  <cp:revision>5</cp:revision>
  <cp:lastPrinted>2018-11-12T07:25:00Z</cp:lastPrinted>
  <dcterms:created xsi:type="dcterms:W3CDTF">2019-06-17T08:35:00Z</dcterms:created>
  <dcterms:modified xsi:type="dcterms:W3CDTF">2021-05-20T13:46:00Z</dcterms:modified>
</cp:coreProperties>
</file>