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DA" w:rsidRPr="00201B6E" w:rsidRDefault="001272F8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36195</wp:posOffset>
            </wp:positionV>
            <wp:extent cx="914400" cy="558800"/>
            <wp:effectExtent l="0" t="0" r="0" b="0"/>
            <wp:wrapSquare wrapText="bothSides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r w:rsidRPr="00201B6E">
        <w:rPr>
          <w:i/>
          <w:iCs/>
          <w:sz w:val="20"/>
        </w:rPr>
        <w:t>Pôdohospodárska platobná agentúra</w:t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</w:pPr>
      <w:r w:rsidRPr="00201B6E">
        <w:rPr>
          <w:i/>
          <w:iCs/>
          <w:sz w:val="20"/>
        </w:rPr>
        <w:t xml:space="preserve">Ministerstvo pôdohospodárstva </w:t>
      </w:r>
      <w:r w:rsidR="007B1626" w:rsidRPr="00201B6E">
        <w:rPr>
          <w:i/>
          <w:iCs/>
          <w:sz w:val="20"/>
        </w:rPr>
        <w:t>a rozvoja vidieka Slovenskej republiky</w:t>
      </w:r>
      <w:r w:rsidR="007B1626" w:rsidRPr="00201B6E">
        <w:rPr>
          <w:i/>
          <w:iCs/>
          <w:sz w:val="20"/>
        </w:rPr>
        <w:tab/>
      </w:r>
      <w:r w:rsidR="007B1626" w:rsidRPr="00201B6E">
        <w:rPr>
          <w:i/>
          <w:iCs/>
          <w:sz w:val="20"/>
        </w:rPr>
        <w:tab/>
      </w:r>
      <w:r w:rsidR="007B1626"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>Európska únia</w:t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left"/>
      </w:pPr>
    </w:p>
    <w:p w:rsidR="00D86CDA" w:rsidRPr="00201B6E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01B6E">
        <w:rPr>
          <w:rFonts w:ascii="Times New Roman" w:hAnsi="Times New Roman"/>
          <w:b/>
          <w:bCs/>
          <w:sz w:val="24"/>
          <w:szCs w:val="24"/>
        </w:rPr>
        <w:t>VÝZVA NA PREDKLADANIE ŽIADOSTÍ O NENÁVRATNÝ FINANČNÝ PRÍSPEVOK</w:t>
      </w:r>
      <w:r w:rsidRPr="00201B6E">
        <w:rPr>
          <w:rFonts w:ascii="Times New Roman" w:hAnsi="Times New Roman"/>
          <w:b/>
          <w:bCs/>
          <w:caps/>
          <w:sz w:val="24"/>
          <w:szCs w:val="24"/>
        </w:rPr>
        <w:t xml:space="preserve"> z programu rozvoja vidieka </w:t>
      </w:r>
    </w:p>
    <w:p w:rsidR="00D86CDA" w:rsidRPr="00201B6E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01B6E">
        <w:rPr>
          <w:rFonts w:ascii="Times New Roman" w:hAnsi="Times New Roman"/>
          <w:b/>
          <w:bCs/>
          <w:caps/>
          <w:sz w:val="24"/>
          <w:szCs w:val="24"/>
        </w:rPr>
        <w:t xml:space="preserve">slovenskej republiky 2007 – 2013 </w:t>
      </w:r>
    </w:p>
    <w:p w:rsidR="00D86CDA" w:rsidRDefault="00D86CDA" w:rsidP="00D86CDA">
      <w:pPr>
        <w:pStyle w:val="Hlavika"/>
        <w:jc w:val="center"/>
        <w:rPr>
          <w:b/>
          <w:bCs/>
        </w:rPr>
      </w:pPr>
    </w:p>
    <w:p w:rsidR="0049436B" w:rsidRPr="00201B6E" w:rsidRDefault="0049436B" w:rsidP="00D86CDA">
      <w:pPr>
        <w:pStyle w:val="Hlavika"/>
        <w:jc w:val="center"/>
        <w:rPr>
          <w:b/>
          <w:bCs/>
        </w:rPr>
      </w:pPr>
    </w:p>
    <w:p w:rsidR="00D86CDA" w:rsidRPr="00482588" w:rsidRDefault="00D86CDA" w:rsidP="00D86CDA">
      <w:pPr>
        <w:pStyle w:val="Zarkazkladnhotextu"/>
        <w:ind w:firstLine="257"/>
        <w:rPr>
          <w:color w:val="FF0000"/>
          <w:sz w:val="24"/>
          <w:lang w:eastAsia="sk-SK"/>
        </w:rPr>
      </w:pP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  <w:t xml:space="preserve">Číslo výzvy: </w:t>
      </w:r>
      <w:r w:rsidRPr="00201B6E">
        <w:rPr>
          <w:b/>
          <w:sz w:val="24"/>
          <w:lang w:eastAsia="sk-SK"/>
        </w:rPr>
        <w:tab/>
      </w:r>
      <w:r w:rsidR="00DF64E2" w:rsidRPr="00201B6E">
        <w:rPr>
          <w:b/>
          <w:sz w:val="24"/>
          <w:lang w:eastAsia="sk-SK"/>
        </w:rPr>
        <w:t>2013</w:t>
      </w:r>
      <w:r w:rsidRPr="00201B6E">
        <w:rPr>
          <w:b/>
          <w:sz w:val="24"/>
          <w:lang w:eastAsia="sk-SK"/>
        </w:rPr>
        <w:t>/PRV</w:t>
      </w:r>
      <w:r w:rsidR="00185BA9">
        <w:rPr>
          <w:b/>
          <w:sz w:val="24"/>
          <w:lang w:eastAsia="sk-SK"/>
        </w:rPr>
        <w:t>/</w:t>
      </w:r>
      <w:r w:rsidR="00742D7E">
        <w:rPr>
          <w:b/>
          <w:sz w:val="24"/>
          <w:lang w:eastAsia="sk-SK"/>
        </w:rPr>
        <w:t>3</w:t>
      </w:r>
      <w:r w:rsidR="00CB36B7">
        <w:rPr>
          <w:b/>
          <w:sz w:val="24"/>
          <w:lang w:eastAsia="sk-SK"/>
        </w:rPr>
        <w:t>1</w:t>
      </w:r>
      <w:r w:rsidR="00482588">
        <w:rPr>
          <w:b/>
          <w:sz w:val="24"/>
          <w:lang w:eastAsia="sk-SK"/>
        </w:rPr>
        <w:t xml:space="preserve"> – </w:t>
      </w:r>
      <w:r w:rsidR="00482588">
        <w:rPr>
          <w:b/>
          <w:color w:val="FF0000"/>
          <w:sz w:val="24"/>
          <w:lang w:eastAsia="sk-SK"/>
        </w:rPr>
        <w:t>aktualizácia č. 1</w:t>
      </w:r>
    </w:p>
    <w:p w:rsidR="008769D3" w:rsidRDefault="008769D3" w:rsidP="008769D3">
      <w:pPr>
        <w:pStyle w:val="Zarkazkladnhotextu"/>
        <w:rPr>
          <w:sz w:val="24"/>
          <w:lang w:eastAsia="sk-SK"/>
        </w:rPr>
      </w:pPr>
    </w:p>
    <w:p w:rsidR="0049436B" w:rsidRPr="00201B6E" w:rsidRDefault="0049436B" w:rsidP="008769D3">
      <w:pPr>
        <w:pStyle w:val="Zarkazkladnhotextu"/>
        <w:rPr>
          <w:sz w:val="24"/>
          <w:lang w:eastAsia="sk-SK"/>
        </w:rPr>
      </w:pPr>
    </w:p>
    <w:p w:rsidR="00D86CDA" w:rsidRPr="00A05119" w:rsidRDefault="008769D3" w:rsidP="008769D3">
      <w:pPr>
        <w:pStyle w:val="Zarkazkladnhotextu"/>
        <w:rPr>
          <w:sz w:val="24"/>
          <w:szCs w:val="24"/>
          <w:lang w:eastAsia="sk-SK"/>
        </w:rPr>
      </w:pPr>
      <w:r w:rsidRPr="00A05119">
        <w:rPr>
          <w:color w:val="000000"/>
          <w:sz w:val="24"/>
          <w:szCs w:val="24"/>
        </w:rPr>
        <w:t xml:space="preserve">Pôdohospodárska platobná agentúra </w:t>
      </w:r>
      <w:r w:rsidR="00342255" w:rsidRPr="00A05119">
        <w:rPr>
          <w:color w:val="000000"/>
          <w:sz w:val="24"/>
          <w:szCs w:val="24"/>
        </w:rPr>
        <w:t xml:space="preserve">(ďalej len </w:t>
      </w:r>
      <w:r w:rsidR="00A6176F" w:rsidRPr="00A05119">
        <w:rPr>
          <w:color w:val="000000"/>
          <w:sz w:val="24"/>
          <w:szCs w:val="24"/>
        </w:rPr>
        <w:t>„</w:t>
      </w:r>
      <w:r w:rsidR="00342255" w:rsidRPr="00A05119">
        <w:rPr>
          <w:color w:val="000000"/>
          <w:sz w:val="24"/>
          <w:szCs w:val="24"/>
        </w:rPr>
        <w:t>PPA</w:t>
      </w:r>
      <w:r w:rsidR="00A6176F" w:rsidRPr="00A05119">
        <w:rPr>
          <w:color w:val="000000"/>
          <w:sz w:val="24"/>
          <w:szCs w:val="24"/>
        </w:rPr>
        <w:t>“</w:t>
      </w:r>
      <w:r w:rsidR="00342255" w:rsidRPr="00A05119">
        <w:rPr>
          <w:color w:val="000000"/>
          <w:sz w:val="24"/>
          <w:szCs w:val="24"/>
        </w:rPr>
        <w:t xml:space="preserve">) </w:t>
      </w:r>
      <w:r w:rsidRPr="00A05119">
        <w:rPr>
          <w:color w:val="000000"/>
          <w:sz w:val="24"/>
          <w:szCs w:val="24"/>
        </w:rPr>
        <w:t xml:space="preserve">na základe súhlasu </w:t>
      </w:r>
      <w:r w:rsidRPr="00A05119">
        <w:rPr>
          <w:bCs/>
          <w:color w:val="000000"/>
          <w:sz w:val="24"/>
          <w:szCs w:val="24"/>
        </w:rPr>
        <w:t xml:space="preserve">Ministerstva pôdohospodárstva a rozvoja vidieka SR </w:t>
      </w:r>
      <w:r w:rsidRPr="00A05119">
        <w:rPr>
          <w:color w:val="000000"/>
          <w:sz w:val="24"/>
          <w:szCs w:val="24"/>
        </w:rPr>
        <w:t>(ďalej len „MPRV</w:t>
      </w:r>
      <w:r w:rsidR="00B359AB" w:rsidRPr="00A05119">
        <w:rPr>
          <w:color w:val="000000"/>
          <w:sz w:val="24"/>
          <w:szCs w:val="24"/>
        </w:rPr>
        <w:t xml:space="preserve"> SR</w:t>
      </w:r>
      <w:r w:rsidRPr="00A05119">
        <w:rPr>
          <w:color w:val="000000"/>
          <w:sz w:val="24"/>
          <w:szCs w:val="24"/>
        </w:rPr>
        <w:t>“)</w:t>
      </w:r>
      <w:r w:rsidRPr="00A05119">
        <w:rPr>
          <w:snapToGrid w:val="0"/>
          <w:color w:val="000000"/>
          <w:sz w:val="24"/>
          <w:szCs w:val="24"/>
        </w:rPr>
        <w:t xml:space="preserve"> ako riadiaceho orgánu, ktorý je </w:t>
      </w:r>
      <w:r w:rsidRPr="00A05119">
        <w:rPr>
          <w:color w:val="000000"/>
          <w:sz w:val="24"/>
          <w:szCs w:val="24"/>
        </w:rPr>
        <w:t xml:space="preserve">zodpovedný za riadenie a vykonávanie Programu rozvoja vidieka SR 2007 – 2013 </w:t>
      </w:r>
      <w:r w:rsidRPr="00A05119">
        <w:rPr>
          <w:bCs/>
          <w:color w:val="000000"/>
          <w:sz w:val="24"/>
          <w:szCs w:val="24"/>
        </w:rPr>
        <w:t xml:space="preserve">vyhlasuje </w:t>
      </w:r>
      <w:r w:rsidR="004108D7" w:rsidRPr="00A05119">
        <w:rPr>
          <w:bCs/>
          <w:color w:val="000000"/>
          <w:sz w:val="24"/>
          <w:szCs w:val="24"/>
        </w:rPr>
        <w:t>v zmysle ustanovení zákona č. 528/2008 Z.z. v znení neskorších predpisov</w:t>
      </w:r>
      <w:r w:rsidR="004108D7" w:rsidRPr="00A05119">
        <w:rPr>
          <w:b/>
          <w:bCs/>
          <w:color w:val="000000"/>
          <w:sz w:val="24"/>
          <w:szCs w:val="24"/>
        </w:rPr>
        <w:t xml:space="preserve"> </w:t>
      </w:r>
      <w:r w:rsidR="002F3AF0" w:rsidRPr="00A05119">
        <w:rPr>
          <w:b/>
          <w:bCs/>
          <w:color w:val="000000"/>
          <w:sz w:val="24"/>
          <w:szCs w:val="24"/>
        </w:rPr>
        <w:t>výzvu na</w:t>
      </w:r>
      <w:r w:rsidRPr="00A05119">
        <w:rPr>
          <w:b/>
          <w:bCs/>
          <w:color w:val="000000"/>
          <w:sz w:val="24"/>
          <w:szCs w:val="24"/>
        </w:rPr>
        <w:t xml:space="preserve"> predkladani</w:t>
      </w:r>
      <w:r w:rsidR="00510471" w:rsidRPr="00A05119">
        <w:rPr>
          <w:b/>
          <w:bCs/>
          <w:color w:val="000000"/>
          <w:sz w:val="24"/>
          <w:szCs w:val="24"/>
        </w:rPr>
        <w:t>e</w:t>
      </w:r>
      <w:r w:rsidRPr="00A05119">
        <w:rPr>
          <w:b/>
          <w:bCs/>
          <w:color w:val="000000"/>
          <w:sz w:val="24"/>
          <w:szCs w:val="24"/>
        </w:rPr>
        <w:t xml:space="preserve"> Žiadostí o poskytnutie nenávratného finančného príspevku z Programu rozvoja vidieka SR 2007 – 2013</w:t>
      </w:r>
      <w:r w:rsidRPr="00A05119">
        <w:rPr>
          <w:color w:val="000000"/>
          <w:sz w:val="24"/>
          <w:szCs w:val="24"/>
        </w:rPr>
        <w:t xml:space="preserve"> (ďalej len „</w:t>
      </w:r>
      <w:r w:rsidR="002F3AF0" w:rsidRPr="00A05119">
        <w:rPr>
          <w:color w:val="000000"/>
          <w:sz w:val="24"/>
          <w:szCs w:val="24"/>
        </w:rPr>
        <w:t>Výzva</w:t>
      </w:r>
      <w:r w:rsidRPr="00A05119">
        <w:rPr>
          <w:color w:val="000000"/>
          <w:sz w:val="24"/>
          <w:szCs w:val="24"/>
        </w:rPr>
        <w:t>“),</w:t>
      </w:r>
    </w:p>
    <w:p w:rsidR="008769D3" w:rsidRPr="00A05119" w:rsidRDefault="008769D3" w:rsidP="00D86CDA">
      <w:pPr>
        <w:pStyle w:val="Zarkazkladnhotextu"/>
        <w:ind w:firstLine="257"/>
        <w:rPr>
          <w:sz w:val="24"/>
          <w:szCs w:val="24"/>
          <w:lang w:eastAsia="sk-SK"/>
        </w:rPr>
      </w:pPr>
    </w:p>
    <w:p w:rsidR="00D86CDA" w:rsidRDefault="00D86CDA" w:rsidP="00CB36B7">
      <w:pPr>
        <w:jc w:val="center"/>
        <w:rPr>
          <w:b/>
          <w:bCs/>
          <w:sz w:val="22"/>
        </w:rPr>
      </w:pPr>
      <w:r w:rsidRPr="00A05119">
        <w:rPr>
          <w:b/>
        </w:rPr>
        <w:t xml:space="preserve">pre opatrenie </w:t>
      </w:r>
      <w:r w:rsidR="00CB36B7" w:rsidRPr="00464EB6">
        <w:rPr>
          <w:sz w:val="22"/>
        </w:rPr>
        <w:t xml:space="preserve"> </w:t>
      </w:r>
      <w:r w:rsidR="00CB36B7" w:rsidRPr="00464EB6">
        <w:rPr>
          <w:rFonts w:ascii="TimesNewRoman,Bold" w:hAnsi="TimesNewRoman,Bold" w:cs="TimesNewRoman,Bold"/>
          <w:b/>
          <w:bCs/>
          <w:sz w:val="22"/>
        </w:rPr>
        <w:t xml:space="preserve">2.1 </w:t>
      </w:r>
      <w:r w:rsidR="00CB36B7" w:rsidRPr="00464EB6">
        <w:rPr>
          <w:b/>
          <w:bCs/>
          <w:sz w:val="22"/>
        </w:rPr>
        <w:t>Obnova potenciálu lesného hospodárstva a zavedenie preventívnych opatrení</w:t>
      </w:r>
    </w:p>
    <w:p w:rsidR="00CB36B7" w:rsidRDefault="00CB36B7" w:rsidP="00CB36B7">
      <w:pPr>
        <w:jc w:val="center"/>
        <w:rPr>
          <w:b/>
        </w:rPr>
      </w:pPr>
    </w:p>
    <w:p w:rsidR="007D01EC" w:rsidRPr="00A05119" w:rsidRDefault="007D01EC" w:rsidP="00CB36B7">
      <w:pPr>
        <w:jc w:val="center"/>
        <w:rPr>
          <w:b/>
        </w:rPr>
      </w:pPr>
    </w:p>
    <w:p w:rsidR="00D86CDA" w:rsidRPr="00EA1C74" w:rsidRDefault="00D86CDA" w:rsidP="00D86CDA">
      <w:pPr>
        <w:pStyle w:val="Zarkazkladnhotextu"/>
        <w:spacing w:line="280" w:lineRule="exact"/>
        <w:ind w:left="540" w:hanging="540"/>
        <w:jc w:val="center"/>
        <w:rPr>
          <w:b/>
          <w:color w:val="FF0000"/>
          <w:sz w:val="24"/>
          <w:szCs w:val="24"/>
          <w:lang w:eastAsia="sk-SK"/>
        </w:rPr>
      </w:pPr>
      <w:r w:rsidRPr="00A05119">
        <w:rPr>
          <w:b/>
          <w:sz w:val="24"/>
          <w:szCs w:val="24"/>
          <w:lang w:eastAsia="sk-SK"/>
        </w:rPr>
        <w:t>v </w:t>
      </w:r>
      <w:r w:rsidRPr="006F54A8">
        <w:rPr>
          <w:b/>
          <w:sz w:val="24"/>
          <w:szCs w:val="24"/>
          <w:lang w:eastAsia="sk-SK"/>
        </w:rPr>
        <w:t xml:space="preserve">termíne  od </w:t>
      </w:r>
      <w:r w:rsidR="007B071B" w:rsidRPr="00EA1C74">
        <w:rPr>
          <w:b/>
          <w:color w:val="000000" w:themeColor="text1"/>
          <w:sz w:val="24"/>
          <w:szCs w:val="24"/>
          <w:lang w:eastAsia="sk-SK"/>
        </w:rPr>
        <w:t>0</w:t>
      </w:r>
      <w:r w:rsidR="00CB36B7" w:rsidRPr="00EA1C74">
        <w:rPr>
          <w:b/>
          <w:color w:val="000000" w:themeColor="text1"/>
          <w:sz w:val="24"/>
          <w:szCs w:val="24"/>
          <w:lang w:eastAsia="sk-SK"/>
        </w:rPr>
        <w:t>3</w:t>
      </w:r>
      <w:r w:rsidRPr="00EA1C74">
        <w:rPr>
          <w:b/>
          <w:color w:val="000000" w:themeColor="text1"/>
          <w:sz w:val="24"/>
          <w:szCs w:val="24"/>
          <w:lang w:eastAsia="sk-SK"/>
        </w:rPr>
        <w:t>.</w:t>
      </w:r>
      <w:r w:rsidR="00CB36B7" w:rsidRPr="00EA1C74">
        <w:rPr>
          <w:b/>
          <w:color w:val="000000" w:themeColor="text1"/>
          <w:sz w:val="24"/>
          <w:szCs w:val="24"/>
          <w:lang w:eastAsia="sk-SK"/>
        </w:rPr>
        <w:t>02</w:t>
      </w:r>
      <w:r w:rsidR="008769D3" w:rsidRPr="00EA1C74">
        <w:rPr>
          <w:b/>
          <w:color w:val="000000" w:themeColor="text1"/>
          <w:sz w:val="24"/>
          <w:szCs w:val="24"/>
          <w:lang w:eastAsia="sk-SK"/>
        </w:rPr>
        <w:t>.201</w:t>
      </w:r>
      <w:r w:rsidR="00CB36B7" w:rsidRPr="00EA1C74">
        <w:rPr>
          <w:b/>
          <w:color w:val="000000" w:themeColor="text1"/>
          <w:sz w:val="24"/>
          <w:szCs w:val="24"/>
          <w:lang w:eastAsia="sk-SK"/>
        </w:rPr>
        <w:t>4</w:t>
      </w:r>
      <w:r w:rsidRPr="00EA1C74">
        <w:rPr>
          <w:b/>
          <w:color w:val="000000" w:themeColor="text1"/>
          <w:sz w:val="24"/>
          <w:szCs w:val="24"/>
          <w:lang w:eastAsia="sk-SK"/>
        </w:rPr>
        <w:t xml:space="preserve"> do </w:t>
      </w:r>
      <w:r w:rsidR="00CD4FF7" w:rsidRPr="00EA1C74">
        <w:rPr>
          <w:b/>
          <w:color w:val="000000" w:themeColor="text1"/>
          <w:sz w:val="24"/>
          <w:szCs w:val="24"/>
          <w:lang w:eastAsia="sk-SK"/>
        </w:rPr>
        <w:t>30</w:t>
      </w:r>
      <w:r w:rsidR="008769D3" w:rsidRPr="00EA1C74">
        <w:rPr>
          <w:b/>
          <w:color w:val="000000" w:themeColor="text1"/>
          <w:sz w:val="24"/>
          <w:szCs w:val="24"/>
          <w:lang w:eastAsia="sk-SK"/>
        </w:rPr>
        <w:t>.</w:t>
      </w:r>
      <w:r w:rsidR="00CD4FF7" w:rsidRPr="00EA1C74">
        <w:rPr>
          <w:b/>
          <w:color w:val="000000" w:themeColor="text1"/>
          <w:sz w:val="24"/>
          <w:szCs w:val="24"/>
          <w:lang w:eastAsia="sk-SK"/>
        </w:rPr>
        <w:t>04</w:t>
      </w:r>
      <w:r w:rsidRPr="00EA1C74">
        <w:rPr>
          <w:b/>
          <w:color w:val="000000" w:themeColor="text1"/>
          <w:sz w:val="24"/>
          <w:szCs w:val="24"/>
          <w:lang w:eastAsia="sk-SK"/>
        </w:rPr>
        <w:t>.20</w:t>
      </w:r>
      <w:r w:rsidR="008769D3" w:rsidRPr="00EA1C74">
        <w:rPr>
          <w:b/>
          <w:color w:val="000000" w:themeColor="text1"/>
          <w:sz w:val="24"/>
          <w:szCs w:val="24"/>
          <w:lang w:eastAsia="sk-SK"/>
        </w:rPr>
        <w:t>1</w:t>
      </w:r>
      <w:r w:rsidR="00CB36B7" w:rsidRPr="00EA1C74">
        <w:rPr>
          <w:b/>
          <w:color w:val="000000" w:themeColor="text1"/>
          <w:sz w:val="24"/>
          <w:szCs w:val="24"/>
          <w:lang w:eastAsia="sk-SK"/>
        </w:rPr>
        <w:t>4</w:t>
      </w:r>
      <w:r w:rsidRPr="00EA1C74">
        <w:rPr>
          <w:b/>
          <w:color w:val="FF0000"/>
          <w:sz w:val="24"/>
          <w:szCs w:val="24"/>
          <w:lang w:eastAsia="sk-SK"/>
        </w:rPr>
        <w:t xml:space="preserve"> </w:t>
      </w:r>
    </w:p>
    <w:p w:rsidR="00D86CDA" w:rsidRPr="006F54A8" w:rsidRDefault="00D86CDA" w:rsidP="00D86CDA">
      <w:pPr>
        <w:pStyle w:val="Zarkazkladnhotextu"/>
        <w:spacing w:line="280" w:lineRule="exact"/>
        <w:ind w:left="540" w:hanging="540"/>
        <w:rPr>
          <w:b/>
          <w:sz w:val="24"/>
          <w:szCs w:val="24"/>
          <w:lang w:eastAsia="sk-SK"/>
        </w:rPr>
      </w:pPr>
    </w:p>
    <w:p w:rsidR="00D86CDA" w:rsidRPr="006F54A8" w:rsidRDefault="00D86CDA" w:rsidP="00D86CDA">
      <w:pPr>
        <w:tabs>
          <w:tab w:val="left" w:pos="540"/>
        </w:tabs>
        <w:spacing w:line="280" w:lineRule="exact"/>
        <w:rPr>
          <w:b/>
          <w:bCs/>
        </w:rPr>
      </w:pPr>
      <w:r w:rsidRPr="006F54A8">
        <w:rPr>
          <w:b/>
          <w:bCs/>
        </w:rPr>
        <w:t>Rozpočet</w:t>
      </w:r>
    </w:p>
    <w:p w:rsidR="007D01EC" w:rsidRPr="006F54A8" w:rsidRDefault="007D01EC" w:rsidP="00D86CDA">
      <w:pPr>
        <w:tabs>
          <w:tab w:val="left" w:pos="540"/>
        </w:tabs>
        <w:spacing w:line="280" w:lineRule="exact"/>
        <w:rPr>
          <w:b/>
          <w:bCs/>
        </w:rPr>
      </w:pPr>
    </w:p>
    <w:p w:rsidR="008769D3" w:rsidRPr="006F54A8" w:rsidRDefault="00D847AB" w:rsidP="00007D2E">
      <w:pPr>
        <w:spacing w:after="120" w:line="276" w:lineRule="auto"/>
        <w:jc w:val="both"/>
        <w:rPr>
          <w:b/>
        </w:rPr>
      </w:pPr>
      <w:r w:rsidRPr="006F54A8">
        <w:rPr>
          <w:b/>
          <w:bCs/>
        </w:rPr>
        <w:t>Indikatívny finančný rámec</w:t>
      </w:r>
      <w:r w:rsidRPr="006F54A8">
        <w:rPr>
          <w:b/>
        </w:rPr>
        <w:t xml:space="preserve"> </w:t>
      </w:r>
      <w:r w:rsidR="008769D3" w:rsidRPr="006F54A8">
        <w:rPr>
          <w:b/>
        </w:rPr>
        <w:t>disponibilných finančnýc</w:t>
      </w:r>
      <w:r w:rsidR="009F6F39" w:rsidRPr="006F54A8">
        <w:rPr>
          <w:b/>
        </w:rPr>
        <w:t>h prostriedkov pre Výzvu č. 2013</w:t>
      </w:r>
      <w:r w:rsidR="00742D7E" w:rsidRPr="006F54A8">
        <w:rPr>
          <w:b/>
        </w:rPr>
        <w:t>/PRV/3</w:t>
      </w:r>
      <w:r w:rsidR="00CB36B7" w:rsidRPr="006F54A8">
        <w:rPr>
          <w:b/>
        </w:rPr>
        <w:t>1</w:t>
      </w:r>
      <w:r w:rsidR="008769D3" w:rsidRPr="006F54A8">
        <w:rPr>
          <w:b/>
        </w:rPr>
        <w:t xml:space="preserve"> je </w:t>
      </w:r>
      <w:r w:rsidR="000F49B2" w:rsidRPr="006F54A8">
        <w:rPr>
          <w:b/>
        </w:rPr>
        <w:t>24 224 022,00</w:t>
      </w:r>
      <w:r w:rsidR="00742D7E" w:rsidRPr="006F54A8">
        <w:rPr>
          <w:b/>
        </w:rPr>
        <w:t xml:space="preserve"> EU</w:t>
      </w:r>
      <w:r w:rsidR="008769D3" w:rsidRPr="006F54A8">
        <w:rPr>
          <w:b/>
        </w:rPr>
        <w:t>R</w:t>
      </w:r>
      <w:r w:rsidR="00A46CB5" w:rsidRPr="006F54A8">
        <w:rPr>
          <w:b/>
        </w:rPr>
        <w:t>, z toho pre:</w:t>
      </w:r>
    </w:p>
    <w:p w:rsidR="00A46CB5" w:rsidRPr="006F54A8" w:rsidRDefault="00A46CB5" w:rsidP="00007D2E">
      <w:pPr>
        <w:numPr>
          <w:ilvl w:val="0"/>
          <w:numId w:val="10"/>
        </w:numPr>
        <w:spacing w:line="276" w:lineRule="auto"/>
        <w:ind w:left="709" w:hanging="283"/>
        <w:jc w:val="both"/>
        <w:rPr>
          <w:b/>
        </w:rPr>
      </w:pPr>
      <w:r w:rsidRPr="006F54A8">
        <w:rPr>
          <w:b/>
        </w:rPr>
        <w:t>Cieľ Konvergencia</w:t>
      </w:r>
      <w:r w:rsidR="006345D1" w:rsidRPr="006F54A8">
        <w:rPr>
          <w:b/>
        </w:rPr>
        <w:t>:</w:t>
      </w:r>
      <w:r w:rsidR="000B11D3" w:rsidRPr="006F54A8">
        <w:rPr>
          <w:b/>
        </w:rPr>
        <w:t xml:space="preserve"> </w:t>
      </w:r>
      <w:r w:rsidR="000F49B2" w:rsidRPr="006F54A8">
        <w:rPr>
          <w:b/>
        </w:rPr>
        <w:t>22 824 022,00</w:t>
      </w:r>
      <w:r w:rsidR="005D2437" w:rsidRPr="006F54A8">
        <w:rPr>
          <w:b/>
        </w:rPr>
        <w:t xml:space="preserve"> </w:t>
      </w:r>
      <w:r w:rsidR="006345D1" w:rsidRPr="006F54A8">
        <w:rPr>
          <w:b/>
        </w:rPr>
        <w:t>EUR</w:t>
      </w:r>
    </w:p>
    <w:p w:rsidR="006345D1" w:rsidRPr="006F54A8" w:rsidRDefault="006345D1" w:rsidP="00007D2E">
      <w:pPr>
        <w:numPr>
          <w:ilvl w:val="0"/>
          <w:numId w:val="10"/>
        </w:numPr>
        <w:spacing w:line="276" w:lineRule="auto"/>
        <w:ind w:left="709" w:hanging="283"/>
        <w:jc w:val="both"/>
        <w:rPr>
          <w:b/>
        </w:rPr>
      </w:pPr>
      <w:r w:rsidRPr="006F54A8">
        <w:rPr>
          <w:b/>
        </w:rPr>
        <w:t xml:space="preserve">Oblasti mimo cieľa Konvergencia: </w:t>
      </w:r>
      <w:r w:rsidR="000F49B2" w:rsidRPr="006F54A8">
        <w:rPr>
          <w:b/>
        </w:rPr>
        <w:t>1 400 000,00</w:t>
      </w:r>
      <w:r w:rsidR="00742D7E" w:rsidRPr="006F54A8">
        <w:rPr>
          <w:b/>
        </w:rPr>
        <w:t xml:space="preserve"> </w:t>
      </w:r>
      <w:r w:rsidRPr="006F54A8">
        <w:rPr>
          <w:b/>
        </w:rPr>
        <w:t>EUR</w:t>
      </w:r>
    </w:p>
    <w:p w:rsidR="00A46CB5" w:rsidRPr="00A05119" w:rsidRDefault="00A46CB5" w:rsidP="008769D3">
      <w:pPr>
        <w:tabs>
          <w:tab w:val="left" w:pos="540"/>
        </w:tabs>
        <w:spacing w:line="280" w:lineRule="exact"/>
        <w:jc w:val="both"/>
        <w:rPr>
          <w:b/>
          <w:bCs/>
        </w:rPr>
      </w:pPr>
    </w:p>
    <w:p w:rsidR="00EA4B91" w:rsidRDefault="00EA4B91" w:rsidP="0097206A">
      <w:pPr>
        <w:pStyle w:val="Odsekzoznamu"/>
        <w:numPr>
          <w:ilvl w:val="0"/>
          <w:numId w:val="33"/>
        </w:numPr>
        <w:spacing w:after="0"/>
        <w:ind w:left="284" w:hanging="284"/>
        <w:jc w:val="both"/>
        <w:rPr>
          <w:b/>
        </w:rPr>
      </w:pPr>
      <w:r w:rsidRPr="00D72543">
        <w:rPr>
          <w:b/>
        </w:rPr>
        <w:t>Konečný prijímateľ (oprávnený žiadateľ)</w:t>
      </w:r>
    </w:p>
    <w:p w:rsidR="00CB36B7" w:rsidRDefault="00CB36B7" w:rsidP="00CB36B7">
      <w:pPr>
        <w:autoSpaceDE w:val="0"/>
        <w:autoSpaceDN w:val="0"/>
        <w:adjustRightInd w:val="0"/>
        <w:jc w:val="both"/>
        <w:rPr>
          <w:sz w:val="22"/>
        </w:rPr>
      </w:pPr>
    </w:p>
    <w:p w:rsidR="00CB36B7" w:rsidRPr="008831B4" w:rsidRDefault="00CB36B7" w:rsidP="00CB36B7">
      <w:pPr>
        <w:autoSpaceDE w:val="0"/>
        <w:autoSpaceDN w:val="0"/>
        <w:adjustRightInd w:val="0"/>
        <w:jc w:val="both"/>
        <w:rPr>
          <w:sz w:val="22"/>
        </w:rPr>
      </w:pPr>
      <w:r w:rsidRPr="008831B4">
        <w:rPr>
          <w:sz w:val="22"/>
        </w:rPr>
        <w:t>Fyzické a právnické osoby obhospodarujúce lesy vo vlastníctve:</w:t>
      </w:r>
    </w:p>
    <w:p w:rsidR="00CB36B7" w:rsidRPr="008831B4" w:rsidRDefault="00CB36B7" w:rsidP="00946B5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</w:rPr>
      </w:pPr>
      <w:r w:rsidRPr="008831B4">
        <w:rPr>
          <w:sz w:val="22"/>
        </w:rPr>
        <w:t>súkromných vlastníkov a ich združení;</w:t>
      </w:r>
    </w:p>
    <w:p w:rsidR="00CB36B7" w:rsidRPr="008831B4" w:rsidRDefault="00CB36B7" w:rsidP="00946B5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</w:rPr>
      </w:pPr>
      <w:r w:rsidRPr="008831B4">
        <w:rPr>
          <w:sz w:val="22"/>
        </w:rPr>
        <w:t>obcí a ich združení;</w:t>
      </w:r>
    </w:p>
    <w:p w:rsidR="00CB36B7" w:rsidRPr="008831B4" w:rsidRDefault="00CB36B7" w:rsidP="00946B5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</w:rPr>
      </w:pPr>
      <w:r w:rsidRPr="008831B4">
        <w:rPr>
          <w:sz w:val="22"/>
        </w:rPr>
        <w:t>cirkvi, ktorej majetok možno podľa právneho poriadku SR považovať za súkromný, pokiaľ ide o jeho správu a nakladanie s ním. Vlastník má práva a povinnosti zakotvené v obchodnom zákonníku;</w:t>
      </w:r>
    </w:p>
    <w:p w:rsidR="00CB36B7" w:rsidRPr="008831B4" w:rsidRDefault="00CB36B7" w:rsidP="007D01EC">
      <w:pPr>
        <w:numPr>
          <w:ilvl w:val="0"/>
          <w:numId w:val="43"/>
        </w:numPr>
        <w:autoSpaceDE w:val="0"/>
        <w:autoSpaceDN w:val="0"/>
        <w:adjustRightInd w:val="0"/>
        <w:ind w:left="714" w:hanging="357"/>
        <w:jc w:val="both"/>
        <w:rPr>
          <w:b/>
          <w:sz w:val="22"/>
        </w:rPr>
      </w:pPr>
      <w:r w:rsidRPr="008831B4">
        <w:rPr>
          <w:sz w:val="22"/>
        </w:rPr>
        <w:t>štátu.</w:t>
      </w:r>
      <w:r w:rsidRPr="008831B4" w:rsidDel="000264C7">
        <w:rPr>
          <w:sz w:val="22"/>
        </w:rPr>
        <w:t xml:space="preserve"> </w:t>
      </w:r>
    </w:p>
    <w:p w:rsidR="0097206A" w:rsidRPr="00D72543" w:rsidRDefault="0097206A" w:rsidP="0097206A">
      <w:pPr>
        <w:pStyle w:val="Odsekzoznamu"/>
        <w:spacing w:after="0"/>
        <w:ind w:left="284"/>
        <w:jc w:val="both"/>
        <w:rPr>
          <w:b/>
        </w:rPr>
      </w:pPr>
    </w:p>
    <w:p w:rsidR="00CB36B7" w:rsidRPr="00CB36B7" w:rsidRDefault="00CB36B7" w:rsidP="00CB36B7">
      <w:pPr>
        <w:pStyle w:val="Odsekzoznamu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hanging="720"/>
        <w:jc w:val="both"/>
        <w:rPr>
          <w:b/>
        </w:rPr>
      </w:pPr>
      <w:r w:rsidRPr="00CB36B7">
        <w:rPr>
          <w:b/>
        </w:rPr>
        <w:t>Minimálne výdavky na jednu ŽoNFP  sú 5 000 EUR a maximálne 700 000 EUR.</w:t>
      </w:r>
    </w:p>
    <w:p w:rsidR="00526169" w:rsidRPr="00A05119" w:rsidRDefault="00526169" w:rsidP="00526169">
      <w:pPr>
        <w:pStyle w:val="Zkladntextb"/>
        <w:ind w:left="720"/>
        <w:rPr>
          <w:u w:val="single"/>
        </w:rPr>
      </w:pPr>
    </w:p>
    <w:p w:rsidR="008A0B27" w:rsidRPr="00A05119" w:rsidRDefault="008A0B27" w:rsidP="00A05119">
      <w:pPr>
        <w:pStyle w:val="Odsekzoznamu"/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 w:rsidRPr="00A05119">
        <w:rPr>
          <w:b/>
          <w:szCs w:val="24"/>
        </w:rPr>
        <w:t>Intenzita pomoci</w:t>
      </w:r>
    </w:p>
    <w:p w:rsidR="00CB36B7" w:rsidRPr="00FE554C" w:rsidRDefault="00CB36B7" w:rsidP="003052C9">
      <w:pPr>
        <w:autoSpaceDE w:val="0"/>
        <w:autoSpaceDN w:val="0"/>
        <w:adjustRightInd w:val="0"/>
        <w:jc w:val="both"/>
      </w:pPr>
      <w:r w:rsidRPr="00FE554C">
        <w:t>Výšku pomoci z EPFRV a národných zdrojov upravuje článok 70 nariadenia Rady (ES)č. 1698/2005. Platba je pri dodržaní stanovených podmienok poskytovaná v plnej výške z verejných zdrojov.</w:t>
      </w:r>
    </w:p>
    <w:p w:rsidR="007D01EC" w:rsidRDefault="007D01EC" w:rsidP="007D01EC">
      <w:pPr>
        <w:autoSpaceDE w:val="0"/>
        <w:autoSpaceDN w:val="0"/>
        <w:adjustRightInd w:val="0"/>
        <w:jc w:val="both"/>
      </w:pPr>
    </w:p>
    <w:p w:rsidR="00CB36B7" w:rsidRPr="007D01EC" w:rsidRDefault="00CB36B7" w:rsidP="007D01EC">
      <w:pPr>
        <w:autoSpaceDE w:val="0"/>
        <w:autoSpaceDN w:val="0"/>
        <w:adjustRightInd w:val="0"/>
        <w:jc w:val="both"/>
      </w:pPr>
      <w:r w:rsidRPr="007D01EC">
        <w:t>Maximálna výška pomoci z celkových oprávnených výdavkov:</w:t>
      </w:r>
    </w:p>
    <w:p w:rsidR="00CB36B7" w:rsidRPr="00FE554C" w:rsidRDefault="00CB36B7" w:rsidP="003052C9">
      <w:pPr>
        <w:pStyle w:val="Odsekzoznamu"/>
        <w:autoSpaceDE w:val="0"/>
        <w:autoSpaceDN w:val="0"/>
        <w:adjustRightInd w:val="0"/>
        <w:jc w:val="both"/>
        <w:rPr>
          <w:szCs w:val="24"/>
        </w:rPr>
      </w:pPr>
      <w:r w:rsidRPr="00FE554C">
        <w:rPr>
          <w:szCs w:val="24"/>
        </w:rPr>
        <w:lastRenderedPageBreak/>
        <w:t xml:space="preserve">– </w:t>
      </w:r>
      <w:r w:rsidRPr="00FE554C">
        <w:rPr>
          <w:b/>
          <w:bCs/>
          <w:szCs w:val="24"/>
        </w:rPr>
        <w:t xml:space="preserve">100 % </w:t>
      </w:r>
      <w:r w:rsidRPr="00FE554C">
        <w:rPr>
          <w:szCs w:val="24"/>
        </w:rPr>
        <w:t>(80 % EÚ a 20 % SR) pre oblasti cieľa Konvergencia;</w:t>
      </w:r>
    </w:p>
    <w:p w:rsidR="00CB36B7" w:rsidRPr="00FE554C" w:rsidRDefault="00CB36B7" w:rsidP="003052C9">
      <w:pPr>
        <w:pStyle w:val="Odsekzoznamu"/>
        <w:autoSpaceDE w:val="0"/>
        <w:autoSpaceDN w:val="0"/>
        <w:adjustRightInd w:val="0"/>
        <w:jc w:val="both"/>
        <w:rPr>
          <w:szCs w:val="24"/>
        </w:rPr>
      </w:pPr>
      <w:r w:rsidRPr="00FE554C">
        <w:rPr>
          <w:szCs w:val="24"/>
        </w:rPr>
        <w:t xml:space="preserve">– </w:t>
      </w:r>
      <w:r w:rsidRPr="00FE554C">
        <w:rPr>
          <w:b/>
          <w:bCs/>
          <w:szCs w:val="24"/>
        </w:rPr>
        <w:t xml:space="preserve">100 % </w:t>
      </w:r>
      <w:r w:rsidRPr="00FE554C">
        <w:rPr>
          <w:szCs w:val="24"/>
        </w:rPr>
        <w:t>(55 % EÚ a 45 % SR) pre Ostatné oblasti.</w:t>
      </w:r>
    </w:p>
    <w:p w:rsidR="00CB36B7" w:rsidRPr="00FE554C" w:rsidRDefault="00CB36B7" w:rsidP="003052C9">
      <w:pPr>
        <w:pStyle w:val="Odsekzoznamu"/>
        <w:autoSpaceDE w:val="0"/>
        <w:autoSpaceDN w:val="0"/>
        <w:adjustRightInd w:val="0"/>
        <w:jc w:val="both"/>
        <w:rPr>
          <w:szCs w:val="24"/>
        </w:rPr>
      </w:pPr>
    </w:p>
    <w:p w:rsidR="00CB36B7" w:rsidRPr="00FE554C" w:rsidRDefault="00CB36B7" w:rsidP="003052C9">
      <w:pPr>
        <w:autoSpaceDE w:val="0"/>
        <w:autoSpaceDN w:val="0"/>
        <w:adjustRightInd w:val="0"/>
        <w:jc w:val="both"/>
      </w:pPr>
      <w:r w:rsidRPr="00FE554C">
        <w:t xml:space="preserve">Ak žiadateľ s výmerou lesa do 100 000 ha realizuje projekt na </w:t>
      </w:r>
      <w:r w:rsidRPr="00FE554C">
        <w:rPr>
          <w:b/>
          <w:bCs/>
        </w:rPr>
        <w:t xml:space="preserve">zmiešanom území </w:t>
      </w:r>
      <w:r w:rsidRPr="00FE554C">
        <w:t xml:space="preserve">(v oblasti </w:t>
      </w:r>
      <w:r w:rsidRPr="00FE554C">
        <w:rPr>
          <w:iCs/>
        </w:rPr>
        <w:t xml:space="preserve">cieľa Konvergencie </w:t>
      </w:r>
      <w:r w:rsidRPr="00FE554C">
        <w:t xml:space="preserve">aj v </w:t>
      </w:r>
      <w:r w:rsidRPr="00FE554C">
        <w:rPr>
          <w:iCs/>
        </w:rPr>
        <w:t xml:space="preserve">Ostatných oblastiach) </w:t>
      </w:r>
      <w:r w:rsidRPr="00FE554C">
        <w:t xml:space="preserve">podáva </w:t>
      </w:r>
      <w:r w:rsidRPr="00FE554C">
        <w:rPr>
          <w:b/>
          <w:bCs/>
        </w:rPr>
        <w:t xml:space="preserve">dva projekty </w:t>
      </w:r>
      <w:r w:rsidRPr="00FE554C">
        <w:t xml:space="preserve">– zvlášť na cieľ Konvergencie a zvlášť na Ostatné oblasti, avšak suma spolu oboch žiadostí musí byť v rozpätí minimálnej a maximálnej výšky oprávnených výdavkov na jeden projekt. Ak žiadateľ s výmerou lesa nad 100 000 ha realizuje projekt na </w:t>
      </w:r>
      <w:r w:rsidRPr="00FE554C">
        <w:rPr>
          <w:b/>
          <w:bCs/>
        </w:rPr>
        <w:t xml:space="preserve">zmiešanom území </w:t>
      </w:r>
      <w:r w:rsidRPr="00FE554C">
        <w:t xml:space="preserve">(v oblasti </w:t>
      </w:r>
      <w:r w:rsidRPr="00FE554C">
        <w:rPr>
          <w:iCs/>
        </w:rPr>
        <w:t xml:space="preserve">cieľa Konvergencie </w:t>
      </w:r>
      <w:r w:rsidRPr="00FE554C">
        <w:t xml:space="preserve">aj v </w:t>
      </w:r>
      <w:r w:rsidRPr="00FE554C">
        <w:rPr>
          <w:iCs/>
        </w:rPr>
        <w:t xml:space="preserve">Ostatných oblastiach) </w:t>
      </w:r>
      <w:r w:rsidRPr="00FE554C">
        <w:t xml:space="preserve">podáva </w:t>
      </w:r>
      <w:r w:rsidRPr="00FE554C">
        <w:rPr>
          <w:b/>
          <w:bCs/>
        </w:rPr>
        <w:t xml:space="preserve">dva projekty </w:t>
      </w:r>
      <w:r w:rsidRPr="00FE554C">
        <w:t>– zvlášť na cieľ Konvergencie a zvlášť na Ostatné oblasti, suma každej žiadostí musí byť v rozpätí minimálnej a maximálnej výšky oprávnených výdavkov na jeden projekt.</w:t>
      </w:r>
    </w:p>
    <w:p w:rsidR="00EA4B91" w:rsidRPr="0097206A" w:rsidRDefault="006D5C98" w:rsidP="00EA4B91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b/>
          <w:bCs/>
        </w:rPr>
      </w:pPr>
      <w:r w:rsidRPr="0097206A">
        <w:rPr>
          <w:b/>
          <w:bCs/>
          <w:color w:val="000000"/>
        </w:rPr>
        <w:t xml:space="preserve">Oprávnenosť </w:t>
      </w:r>
      <w:r w:rsidR="0097206A">
        <w:rPr>
          <w:b/>
          <w:bCs/>
          <w:color w:val="000000"/>
        </w:rPr>
        <w:t xml:space="preserve">a rozsah </w:t>
      </w:r>
      <w:r w:rsidRPr="0097206A">
        <w:rPr>
          <w:b/>
          <w:bCs/>
          <w:color w:val="000000"/>
        </w:rPr>
        <w:t>činností realizácie projektu</w:t>
      </w:r>
      <w:r w:rsidR="0097206A">
        <w:rPr>
          <w:b/>
          <w:bCs/>
          <w:color w:val="000000"/>
        </w:rPr>
        <w:t xml:space="preserve"> </w:t>
      </w:r>
      <w:r w:rsidR="00EA4B91" w:rsidRPr="0097206A">
        <w:rPr>
          <w:b/>
          <w:bCs/>
        </w:rPr>
        <w:t xml:space="preserve"> </w:t>
      </w:r>
    </w:p>
    <w:p w:rsidR="00545B8E" w:rsidRPr="00A05119" w:rsidRDefault="00545B8E" w:rsidP="006D5C98">
      <w:pPr>
        <w:autoSpaceDE w:val="0"/>
        <w:autoSpaceDN w:val="0"/>
        <w:adjustRightInd w:val="0"/>
        <w:spacing w:line="280" w:lineRule="exact"/>
        <w:ind w:left="284"/>
        <w:jc w:val="both"/>
      </w:pPr>
    </w:p>
    <w:p w:rsidR="00D43DAE" w:rsidRPr="00FE554C" w:rsidRDefault="00D43DAE" w:rsidP="00D43DAE">
      <w:pPr>
        <w:autoSpaceDE w:val="0"/>
        <w:autoSpaceDN w:val="0"/>
        <w:adjustRightInd w:val="0"/>
        <w:jc w:val="both"/>
        <w:rPr>
          <w:rFonts w:ascii="TimesNewRoman,BoldItalic CE" w:hAnsi="TimesNewRoman,BoldItalic CE" w:cs="TimesNewRoman,BoldItalic CE"/>
          <w:bCs/>
          <w:iCs/>
        </w:rPr>
      </w:pPr>
      <w:r w:rsidRPr="00FE554C">
        <w:rPr>
          <w:rFonts w:ascii="TimesNewRoman,BoldItalic CE" w:hAnsi="TimesNewRoman,BoldItalic CE" w:cs="TimesNewRoman,BoldItalic CE"/>
          <w:bCs/>
          <w:iCs/>
        </w:rPr>
        <w:t>Oprávnené sú všetky činnosti, ktoré sú v súlade s cieľmi opatrenia a príslušnými právnymi</w:t>
      </w:r>
    </w:p>
    <w:p w:rsidR="00D43DAE" w:rsidRPr="00FE554C" w:rsidRDefault="00D43DAE" w:rsidP="00D43DAE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Cs/>
          <w:iCs/>
        </w:rPr>
      </w:pPr>
      <w:r w:rsidRPr="00FE554C">
        <w:rPr>
          <w:rFonts w:ascii="TimesNewRoman,BoldItalic" w:hAnsi="TimesNewRoman,BoldItalic" w:cs="TimesNewRoman,BoldItalic"/>
          <w:bCs/>
          <w:iCs/>
        </w:rPr>
        <w:t>predpismi EÚ.</w:t>
      </w:r>
    </w:p>
    <w:p w:rsidR="00D43DAE" w:rsidRPr="00FE554C" w:rsidRDefault="00D43DAE" w:rsidP="0049436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realizácia projektov ozdravných opatrení v lesoch poškodených biotickými a abiotickými a antropogénnymi škodlivými prírodnými činiteľmi;</w:t>
      </w:r>
    </w:p>
    <w:p w:rsidR="00D43DAE" w:rsidRPr="00FE554C" w:rsidRDefault="00D43DAE" w:rsidP="0049436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obnova lesných porastov, ochrana, ošetrovanie a výchova lesov v lesoch poškodených biotickými a abiotickými a antropogénnymi škodlivými činiteľmi;</w:t>
      </w:r>
    </w:p>
    <w:p w:rsidR="00D43DAE" w:rsidRPr="00FE554C" w:rsidRDefault="00D43DAE" w:rsidP="0049436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výstavba, dostavba, prestavba a rekonštrukcia lesných ciest v rámci protipožiarnych a ozdravných opatrení; výstavba, rekonštrukcia, opravy a údržba protipožiarnych nádrží;</w:t>
      </w:r>
    </w:p>
    <w:p w:rsidR="00D43DAE" w:rsidRPr="00FE554C" w:rsidRDefault="00D43DAE" w:rsidP="0049436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budovanie protipožiarnych pásov a priesekov; ich čistenie a údržba;</w:t>
      </w:r>
    </w:p>
    <w:p w:rsidR="00D43DAE" w:rsidRPr="00FE554C" w:rsidRDefault="00D43DAE" w:rsidP="0049436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budovanie a prevádzka protipožiarnych monitorovacích a výstražných systémov.</w:t>
      </w:r>
    </w:p>
    <w:p w:rsidR="00D43DAE" w:rsidRPr="00FE554C" w:rsidRDefault="00D43DAE" w:rsidP="00D43DAE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43DAE" w:rsidRPr="003052C9" w:rsidRDefault="00D43DAE" w:rsidP="003052C9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b/>
          <w:bCs/>
          <w:color w:val="000000"/>
        </w:rPr>
      </w:pPr>
      <w:r w:rsidRPr="003052C9">
        <w:rPr>
          <w:b/>
          <w:bCs/>
          <w:color w:val="000000"/>
        </w:rPr>
        <w:t>Nadväznosti navrhovaných opatrení</w:t>
      </w:r>
    </w:p>
    <w:p w:rsidR="003052C9" w:rsidRPr="003052C9" w:rsidRDefault="003052C9" w:rsidP="003052C9">
      <w:pPr>
        <w:autoSpaceDE w:val="0"/>
        <w:autoSpaceDN w:val="0"/>
        <w:adjustRightInd w:val="0"/>
        <w:spacing w:before="120" w:line="280" w:lineRule="exact"/>
        <w:ind w:left="284"/>
        <w:jc w:val="both"/>
        <w:rPr>
          <w:b/>
          <w:bCs/>
          <w:color w:val="000000"/>
        </w:rPr>
      </w:pPr>
    </w:p>
    <w:p w:rsidR="00D43DAE" w:rsidRPr="00FE554C" w:rsidRDefault="00D43DAE" w:rsidP="00D43DA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Navrhované opatrenia sú v súlade s kľúčovým opatrením 9 Akčného plánu EÚ v oblasti lesného hospodárstva KOM (2006) 302 z 15. júna 2006.</w:t>
      </w:r>
    </w:p>
    <w:p w:rsidR="00D43DAE" w:rsidRPr="00FE554C" w:rsidRDefault="00D43DAE" w:rsidP="00D43DAE">
      <w:pPr>
        <w:autoSpaceDE w:val="0"/>
        <w:autoSpaceDN w:val="0"/>
        <w:adjustRightInd w:val="0"/>
        <w:jc w:val="both"/>
      </w:pPr>
      <w:r w:rsidRPr="00FE554C">
        <w:rPr>
          <w:rFonts w:ascii="TimesNewRoman" w:hAnsi="TimesNewRoman" w:cs="TimesNewRoman"/>
        </w:rPr>
        <w:t xml:space="preserve">Navrhované opatrenia vychádzajú s ustanovení § 28 zákona 326/2005 Z. z. o lesoch a zákona č. 314/2001 Z. z. o ochrane pred požiarmi v znení neskorších predpisov a vyhlášky Ministerstva vnútra SR č. 121/2002 Z. z. o požiarnej prevencii v znení neskorších predpisov a budú realizované v lesných oblastiach a podoblastiach s vysokým, resp. stredným stupňom ohrozenia požiarmi, ktoré sú taxatívne stanovené vo vyhláške MP SR č. 453/2006 Z. z. o hospodárskej úprave lesa a ochrane lesa. </w:t>
      </w:r>
    </w:p>
    <w:p w:rsidR="00D43DAE" w:rsidRPr="00FE554C" w:rsidRDefault="00D43DAE" w:rsidP="00D43DAE">
      <w:pPr>
        <w:autoSpaceDE w:val="0"/>
        <w:autoSpaceDN w:val="0"/>
        <w:adjustRightInd w:val="0"/>
        <w:jc w:val="both"/>
      </w:pPr>
      <w:r w:rsidRPr="00FE554C">
        <w:rPr>
          <w:rFonts w:ascii="TimesNewRoman" w:hAnsi="TimesNewRoman" w:cs="TimesNewRoman"/>
        </w:rPr>
        <w:t>V prípade, ak sa projekt dotýka záujmov ochrany prírody v zmysle zákona č. 543/2002 Z.z. o ochrane prírody a krajiny, súčasťou žiadosti (projektu) je aj súhlasné stanovisko príslušného orgánu ochrany prírody.</w:t>
      </w:r>
    </w:p>
    <w:p w:rsidR="001929B7" w:rsidRPr="00E71D88" w:rsidRDefault="001929B7" w:rsidP="001929B7">
      <w:pPr>
        <w:pStyle w:val="Odsekzoznamu"/>
        <w:autoSpaceDE w:val="0"/>
        <w:autoSpaceDN w:val="0"/>
        <w:adjustRightInd w:val="0"/>
        <w:spacing w:after="0"/>
        <w:ind w:left="644"/>
        <w:jc w:val="both"/>
        <w:rPr>
          <w:szCs w:val="24"/>
        </w:rPr>
      </w:pPr>
    </w:p>
    <w:p w:rsidR="00C45FA0" w:rsidRDefault="00C45FA0" w:rsidP="00613535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A05119">
        <w:rPr>
          <w:b/>
          <w:bCs/>
          <w:color w:val="000000"/>
        </w:rPr>
        <w:t>Oprávnenosť výdavkov realizácie projektu:</w:t>
      </w:r>
    </w:p>
    <w:p w:rsidR="00613535" w:rsidRPr="00A05119" w:rsidRDefault="00613535" w:rsidP="00613535">
      <w:pPr>
        <w:autoSpaceDE w:val="0"/>
        <w:autoSpaceDN w:val="0"/>
        <w:adjustRightInd w:val="0"/>
        <w:ind w:left="284"/>
        <w:jc w:val="both"/>
        <w:rPr>
          <w:b/>
          <w:bCs/>
          <w:color w:val="000000"/>
        </w:rPr>
      </w:pPr>
    </w:p>
    <w:p w:rsidR="00545B8E" w:rsidRDefault="00545B8E" w:rsidP="003052C9">
      <w:pPr>
        <w:jc w:val="both"/>
        <w:rPr>
          <w:bCs/>
          <w:color w:val="000000"/>
        </w:rPr>
      </w:pPr>
      <w:r w:rsidRPr="00FE554C">
        <w:rPr>
          <w:bCs/>
        </w:rPr>
        <w:t xml:space="preserve">Oprávnený výdavok musí byť zo strany žiadateľa vynaložený v oprávnenom období. </w:t>
      </w:r>
      <w:r w:rsidR="00256DBB" w:rsidRPr="00FE554C">
        <w:rPr>
          <w:rFonts w:ascii="TimesNewRoman,Bold" w:hAnsi="TimesNewRoman,Bold" w:cs="TimesNewRoman,Bold"/>
          <w:bCs/>
        </w:rPr>
        <w:t xml:space="preserve">Za oprávnené obdobie je považované obdobie </w:t>
      </w:r>
      <w:r w:rsidR="00256DBB" w:rsidRPr="00FE554C">
        <w:rPr>
          <w:b/>
        </w:rPr>
        <w:t>odo dňa vyhlásenia výzvy na predkladanie</w:t>
      </w:r>
      <w:r w:rsidR="00256DBB" w:rsidRPr="00FE554C">
        <w:t xml:space="preserve"> </w:t>
      </w:r>
      <w:r w:rsidR="00256DBB" w:rsidRPr="00FE554C">
        <w:rPr>
          <w:b/>
        </w:rPr>
        <w:t>žiadostí o nenávratný finančný príspevok (ďalej len „ŽoNFP“)</w:t>
      </w:r>
      <w:r w:rsidR="00256DBB" w:rsidRPr="00FE554C">
        <w:t xml:space="preserve"> </w:t>
      </w:r>
      <w:r w:rsidR="00256DBB" w:rsidRPr="00FE554C">
        <w:rPr>
          <w:b/>
        </w:rPr>
        <w:t>pre toto opatrenie</w:t>
      </w:r>
      <w:r w:rsidRPr="00FE554C">
        <w:t>.</w:t>
      </w:r>
      <w:r w:rsidR="009424D6" w:rsidRPr="00FE554C">
        <w:t xml:space="preserve"> </w:t>
      </w:r>
      <w:r w:rsidR="00B44EE4" w:rsidRPr="00FE554C">
        <w:rPr>
          <w:bCs/>
        </w:rPr>
        <w:t>Oprávnené výdavky musia spĺňať všeobecné podmienky oprávnenosti výdavkov, ktoré sú uvedené v kapitole 2 </w:t>
      </w:r>
      <w:r w:rsidR="005024AF" w:rsidRPr="00FE554C">
        <w:rPr>
          <w:bCs/>
        </w:rPr>
        <w:t xml:space="preserve"> </w:t>
      </w:r>
      <w:r w:rsidR="005024AF" w:rsidRPr="00FE554C">
        <w:t>Príručky pre žiadateľa o poskytnutie nenávratného finančného príspevku z Programu rozv</w:t>
      </w:r>
      <w:r w:rsidR="007157F2" w:rsidRPr="00FE554C">
        <w:t>oja vidieka SR 2007 – 2013 pre 3</w:t>
      </w:r>
      <w:r w:rsidR="005024AF" w:rsidRPr="00FE554C">
        <w:t>. výzvu na predkladanie žiadostí o nenávratný finančný príspevok</w:t>
      </w:r>
      <w:r w:rsidR="005024AF" w:rsidRPr="00FE554C">
        <w:rPr>
          <w:color w:val="FF0000"/>
        </w:rPr>
        <w:t xml:space="preserve">  </w:t>
      </w:r>
      <w:r w:rsidR="005024AF" w:rsidRPr="00FE554C">
        <w:t>na opa</w:t>
      </w:r>
      <w:r w:rsidR="007157F2" w:rsidRPr="00FE554C">
        <w:t xml:space="preserve">trenie </w:t>
      </w:r>
      <w:r w:rsidR="003052C9" w:rsidRPr="00FE554C">
        <w:t>2.1 Obnova potenciálu lesného hospodárstva a zavedenie preventívnych opatrení</w:t>
      </w:r>
      <w:r w:rsidR="005024AF" w:rsidRPr="00FE554C">
        <w:t xml:space="preserve"> (ďalej len „Príručka“)</w:t>
      </w:r>
      <w:r w:rsidR="00B44EE4" w:rsidRPr="00FE554C">
        <w:rPr>
          <w:bCs/>
        </w:rPr>
        <w:t xml:space="preserve">. </w:t>
      </w:r>
    </w:p>
    <w:p w:rsidR="003052C9" w:rsidRDefault="003052C9" w:rsidP="003052C9">
      <w:pPr>
        <w:spacing w:after="120"/>
        <w:jc w:val="both"/>
        <w:rPr>
          <w:b/>
          <w:sz w:val="22"/>
        </w:rPr>
      </w:pPr>
    </w:p>
    <w:p w:rsidR="003052C9" w:rsidRDefault="003052C9" w:rsidP="003052C9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3052C9">
        <w:rPr>
          <w:b/>
          <w:bCs/>
          <w:color w:val="000000"/>
        </w:rPr>
        <w:t>Všeobecné podmienky oprávnenosti výdavkov:</w:t>
      </w:r>
    </w:p>
    <w:p w:rsidR="003052C9" w:rsidRPr="003052C9" w:rsidRDefault="003052C9" w:rsidP="003052C9">
      <w:pPr>
        <w:autoSpaceDE w:val="0"/>
        <w:autoSpaceDN w:val="0"/>
        <w:adjustRightInd w:val="0"/>
        <w:spacing w:line="280" w:lineRule="exact"/>
        <w:ind w:left="284"/>
        <w:jc w:val="both"/>
        <w:rPr>
          <w:b/>
          <w:bCs/>
          <w:color w:val="000000"/>
        </w:rPr>
      </w:pPr>
    </w:p>
    <w:p w:rsidR="003052C9" w:rsidRPr="00FE554C" w:rsidRDefault="003052C9" w:rsidP="007D01EC">
      <w:pPr>
        <w:numPr>
          <w:ilvl w:val="0"/>
          <w:numId w:val="37"/>
        </w:numPr>
        <w:spacing w:before="60" w:after="60"/>
        <w:ind w:left="357" w:hanging="357"/>
        <w:jc w:val="both"/>
      </w:pPr>
      <w:r w:rsidRPr="00FE554C">
        <w:t>výdavky sú v súlade s legislatívou EÚ a SR;</w:t>
      </w:r>
    </w:p>
    <w:p w:rsidR="003052C9" w:rsidRPr="00FE554C" w:rsidRDefault="003052C9" w:rsidP="007D01EC">
      <w:pPr>
        <w:numPr>
          <w:ilvl w:val="0"/>
          <w:numId w:val="37"/>
        </w:numPr>
        <w:spacing w:before="60" w:after="60"/>
        <w:ind w:left="357" w:hanging="357"/>
        <w:jc w:val="both"/>
      </w:pPr>
      <w:r w:rsidRPr="00FE554C">
        <w:t>výdavky musia byť schválené a potvrdené zmluvou o poskytnutí NFP, musia byť primerané a musia byť vynaložené v súlade s princípmi hospodárnosti, efektívnosti a účelnosti;</w:t>
      </w:r>
    </w:p>
    <w:p w:rsidR="003052C9" w:rsidRPr="00FE554C" w:rsidRDefault="003052C9" w:rsidP="007D01EC">
      <w:pPr>
        <w:numPr>
          <w:ilvl w:val="0"/>
          <w:numId w:val="37"/>
        </w:numPr>
        <w:spacing w:before="60" w:after="60"/>
        <w:ind w:left="357" w:hanging="357"/>
        <w:jc w:val="both"/>
      </w:pPr>
      <w:r w:rsidRPr="00FE554C">
        <w:t>výdavky musia byť identifikovateľné a preukázateľné a musia byť doložené účtovnými záznamami, ktoré sú riadne evidované u prijímateľa v súlade s platnými právnymi predpismi.</w:t>
      </w:r>
    </w:p>
    <w:p w:rsidR="003052C9" w:rsidRPr="00FE554C" w:rsidRDefault="003052C9" w:rsidP="007D01EC">
      <w:pPr>
        <w:numPr>
          <w:ilvl w:val="0"/>
          <w:numId w:val="37"/>
        </w:numPr>
        <w:spacing w:before="60" w:after="60"/>
        <w:ind w:left="357" w:hanging="357"/>
        <w:jc w:val="both"/>
      </w:pPr>
      <w:r w:rsidRPr="00FE554C">
        <w:t>výdavky musia byť uhradené zo strany prijímateľa pred ich deklarovaním PPA v rámci ŽoP (priebežná ŽoP, záverečná ŽoP).</w:t>
      </w:r>
    </w:p>
    <w:p w:rsidR="003052C9" w:rsidRPr="00464EB6" w:rsidRDefault="003052C9" w:rsidP="003052C9">
      <w:pPr>
        <w:spacing w:after="120"/>
        <w:jc w:val="both"/>
        <w:rPr>
          <w:b/>
          <w:bCs/>
          <w:sz w:val="22"/>
        </w:rPr>
      </w:pPr>
    </w:p>
    <w:p w:rsidR="003052C9" w:rsidRPr="003052C9" w:rsidRDefault="003052C9" w:rsidP="003052C9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3052C9">
        <w:rPr>
          <w:b/>
          <w:bCs/>
          <w:color w:val="000000"/>
        </w:rPr>
        <w:t>Kritéria pre uznateľnosť výdavkov</w:t>
      </w:r>
    </w:p>
    <w:p w:rsidR="003052C9" w:rsidRPr="00464EB6" w:rsidRDefault="003052C9" w:rsidP="003052C9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sz w:val="22"/>
        </w:rPr>
      </w:pPr>
    </w:p>
    <w:p w:rsidR="003052C9" w:rsidRPr="00FE554C" w:rsidRDefault="003052C9" w:rsidP="003052C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,Bold" w:hAnsi="TimesNewRoman,Bold" w:cs="TimesNewRoman,Bold"/>
          <w:b/>
          <w:bCs/>
        </w:rPr>
        <w:t xml:space="preserve">Oprávnené výdavky </w:t>
      </w:r>
      <w:r w:rsidRPr="00FE554C">
        <w:rPr>
          <w:rFonts w:ascii="TimesNewRoman" w:hAnsi="TimesNewRoman" w:cs="TimesNewRoman"/>
        </w:rPr>
        <w:t>(s výnimkou obmedzení citovaných v rámci neoprávnených výdavkov)</w:t>
      </w:r>
    </w:p>
    <w:p w:rsidR="003052C9" w:rsidRPr="00FE554C" w:rsidRDefault="003052C9" w:rsidP="003052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výdavky na vlastný sadbový materiál lesných drevín maximálne do výšky ceny obvyklej v mieste realizácie projektu;</w:t>
      </w:r>
    </w:p>
    <w:p w:rsidR="003052C9" w:rsidRPr="00FE554C" w:rsidRDefault="003052C9" w:rsidP="003052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investície do dlhodobého hmotného a nehmotného majetku (v zmysle zákona č. 431/2002 Z. z. v znení neskorších predpisov) – výdavky na výstavbu, dokončenie, rekonštrukciu a prestavbu lesných ciest, výstavbu a rekonštrukciu protipožiarnych nádrží, vybudovanie zariadení a technológií protipožiarnych a monitorovacích systémov;</w:t>
      </w:r>
    </w:p>
    <w:p w:rsidR="003052C9" w:rsidRPr="00FE554C" w:rsidRDefault="003052C9" w:rsidP="003052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FE554C">
        <w:rPr>
          <w:rFonts w:ascii="TimesNewRoman" w:hAnsi="TimesNewRoman" w:cs="TimesNewRoman"/>
        </w:rPr>
        <w:t>prevádzkové výdavky  a služby (materiálové náklady; služby a ostatné priame náklady súvisiace s realizáciou projektov obnovy lesa a projektov ozdravných opatrení. )</w:t>
      </w:r>
    </w:p>
    <w:p w:rsidR="00FB429B" w:rsidRPr="00A05119" w:rsidRDefault="00FB429B" w:rsidP="00FB429B">
      <w:pPr>
        <w:pStyle w:val="Zkladntext3"/>
        <w:keepLines/>
        <w:spacing w:after="0" w:line="280" w:lineRule="exact"/>
        <w:ind w:left="993"/>
        <w:jc w:val="both"/>
        <w:rPr>
          <w:bCs/>
          <w:color w:val="000000"/>
          <w:sz w:val="24"/>
          <w:szCs w:val="24"/>
        </w:rPr>
      </w:pPr>
    </w:p>
    <w:p w:rsidR="00C8538C" w:rsidRPr="003052C9" w:rsidRDefault="00C8538C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</w:rPr>
      </w:pPr>
      <w:r w:rsidRPr="003052C9">
        <w:rPr>
          <w:b/>
          <w:bCs/>
          <w:color w:val="000000"/>
        </w:rPr>
        <w:t xml:space="preserve">Oprávnenosť miesta realizácie projektu: </w:t>
      </w:r>
    </w:p>
    <w:p w:rsidR="00613535" w:rsidRDefault="00613535" w:rsidP="00613535">
      <w:pPr>
        <w:autoSpaceDE w:val="0"/>
        <w:autoSpaceDN w:val="0"/>
        <w:adjustRightInd w:val="0"/>
        <w:spacing w:line="280" w:lineRule="exact"/>
        <w:ind w:left="357"/>
        <w:jc w:val="both"/>
        <w:rPr>
          <w:bCs/>
        </w:rPr>
      </w:pPr>
    </w:p>
    <w:p w:rsidR="00C8538C" w:rsidRPr="00A05119" w:rsidRDefault="00B44EE4" w:rsidP="00613535">
      <w:pPr>
        <w:autoSpaceDE w:val="0"/>
        <w:autoSpaceDN w:val="0"/>
        <w:adjustRightInd w:val="0"/>
        <w:spacing w:line="280" w:lineRule="exact"/>
        <w:ind w:left="357"/>
        <w:jc w:val="both"/>
      </w:pPr>
      <w:r w:rsidRPr="00A05119">
        <w:rPr>
          <w:bCs/>
        </w:rPr>
        <w:t xml:space="preserve">Za oprávnené miesto realizácie projektu je považované </w:t>
      </w:r>
      <w:r w:rsidRPr="00A05119">
        <w:t>celé územie Slovenskej republiky</w:t>
      </w:r>
      <w:r w:rsidR="00C8538C" w:rsidRPr="00A05119">
        <w:t>, ktoré je rozdelené na oblasti cieľa Konvergencia a na oblasti mimo cieľa Konvergencia. Oblasti cieľa Konvergencia sú: Západné Slovensko (Trnavský kraj, Nitriansky kraj, Trenčiansky kraj), Stredné Slovensko: (Banskobystrický kraj, Žilinský kraj) a Východné Slovensko (Košický kraj, Prešovský kraj). Oblasti mimo cieľa Konvergencia zahŕňajú územie Bratislavského kraja.</w:t>
      </w:r>
    </w:p>
    <w:p w:rsidR="00C8538C" w:rsidRPr="00A05119" w:rsidRDefault="00C8538C" w:rsidP="00C8538C">
      <w:pPr>
        <w:autoSpaceDE w:val="0"/>
        <w:autoSpaceDN w:val="0"/>
        <w:adjustRightInd w:val="0"/>
        <w:spacing w:line="280" w:lineRule="exact"/>
        <w:ind w:left="360"/>
        <w:jc w:val="both"/>
        <w:rPr>
          <w:b/>
          <w:bCs/>
        </w:rPr>
      </w:pPr>
    </w:p>
    <w:p w:rsidR="00DD3FD8" w:rsidRPr="0049436B" w:rsidRDefault="00DD3FD8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49436B">
        <w:rPr>
          <w:b/>
          <w:bCs/>
          <w:color w:val="000000"/>
        </w:rPr>
        <w:t xml:space="preserve">Časová oprávnenosť realizácie projektu: </w:t>
      </w:r>
    </w:p>
    <w:p w:rsidR="00613535" w:rsidRPr="0049436B" w:rsidRDefault="00613535" w:rsidP="00613535">
      <w:pPr>
        <w:autoSpaceDE w:val="0"/>
        <w:autoSpaceDN w:val="0"/>
        <w:adjustRightInd w:val="0"/>
        <w:spacing w:line="280" w:lineRule="exact"/>
        <w:ind w:left="357"/>
        <w:jc w:val="both"/>
        <w:rPr>
          <w:bCs/>
        </w:rPr>
      </w:pPr>
    </w:p>
    <w:p w:rsidR="00DD3FD8" w:rsidRPr="00A05119" w:rsidRDefault="00B44EE4" w:rsidP="00613535">
      <w:pPr>
        <w:autoSpaceDE w:val="0"/>
        <w:autoSpaceDN w:val="0"/>
        <w:adjustRightInd w:val="0"/>
        <w:spacing w:line="280" w:lineRule="exact"/>
        <w:ind w:left="357"/>
        <w:jc w:val="both"/>
        <w:rPr>
          <w:bCs/>
        </w:rPr>
      </w:pPr>
      <w:r w:rsidRPr="0049436B">
        <w:rPr>
          <w:bCs/>
        </w:rPr>
        <w:t xml:space="preserve">Žiadateľ </w:t>
      </w:r>
      <w:r w:rsidR="00D01E8F" w:rsidRPr="0049436B">
        <w:rPr>
          <w:bCs/>
        </w:rPr>
        <w:t>môže predložiť žiadosť o platbu (ďalej len „ŽoP“) 1x ročne, pričom</w:t>
      </w:r>
      <w:r w:rsidRPr="0049436B">
        <w:rPr>
          <w:bCs/>
        </w:rPr>
        <w:t xml:space="preserve"> poslednú </w:t>
      </w:r>
      <w:r w:rsidR="00D01E8F" w:rsidRPr="0049436B">
        <w:rPr>
          <w:bCs/>
        </w:rPr>
        <w:t xml:space="preserve">ŽoP musí predložiť </w:t>
      </w:r>
      <w:r w:rsidRPr="0049436B">
        <w:rPr>
          <w:bCs/>
        </w:rPr>
        <w:t xml:space="preserve"> najneskôr do</w:t>
      </w:r>
      <w:r w:rsidR="00CB65FF" w:rsidRPr="0049436B">
        <w:rPr>
          <w:bCs/>
        </w:rPr>
        <w:t xml:space="preserve"> 3</w:t>
      </w:r>
      <w:r w:rsidR="00C90BDC" w:rsidRPr="0049436B">
        <w:rPr>
          <w:bCs/>
        </w:rPr>
        <w:t>0</w:t>
      </w:r>
      <w:r w:rsidR="00CB65FF" w:rsidRPr="0049436B">
        <w:rPr>
          <w:bCs/>
        </w:rPr>
        <w:t>.</w:t>
      </w:r>
      <w:r w:rsidR="00C90BDC" w:rsidRPr="0049436B">
        <w:rPr>
          <w:bCs/>
        </w:rPr>
        <w:t>0</w:t>
      </w:r>
      <w:r w:rsidR="00EC5F67" w:rsidRPr="0049436B">
        <w:rPr>
          <w:bCs/>
        </w:rPr>
        <w:t>6</w:t>
      </w:r>
      <w:r w:rsidR="00CB65FF" w:rsidRPr="0049436B">
        <w:rPr>
          <w:bCs/>
        </w:rPr>
        <w:t>.201</w:t>
      </w:r>
      <w:r w:rsidR="00C90BDC" w:rsidRPr="0049436B">
        <w:rPr>
          <w:bCs/>
        </w:rPr>
        <w:t>5</w:t>
      </w:r>
      <w:r w:rsidRPr="0049436B">
        <w:rPr>
          <w:bCs/>
        </w:rPr>
        <w:t>.</w:t>
      </w:r>
    </w:p>
    <w:p w:rsidR="00CB65FF" w:rsidRPr="00A05119" w:rsidRDefault="00CB65FF" w:rsidP="00DD3FD8">
      <w:pPr>
        <w:autoSpaceDE w:val="0"/>
        <w:autoSpaceDN w:val="0"/>
        <w:adjustRightInd w:val="0"/>
        <w:spacing w:line="280" w:lineRule="exact"/>
        <w:ind w:left="360"/>
        <w:jc w:val="both"/>
        <w:rPr>
          <w:bCs/>
        </w:rPr>
      </w:pPr>
    </w:p>
    <w:p w:rsidR="00CB65FF" w:rsidRPr="00A05119" w:rsidRDefault="00CB65FF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A05119">
        <w:rPr>
          <w:b/>
          <w:bCs/>
          <w:color w:val="000000"/>
        </w:rPr>
        <w:t>Kritériá pre posúdenie projektov:</w:t>
      </w:r>
    </w:p>
    <w:p w:rsidR="003052C9" w:rsidRDefault="003052C9" w:rsidP="00D43DAE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2"/>
        </w:rPr>
      </w:pPr>
    </w:p>
    <w:p w:rsidR="00D43DAE" w:rsidRPr="007D01EC" w:rsidRDefault="00D43DAE" w:rsidP="00D43DAE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2"/>
        </w:rPr>
      </w:pPr>
      <w:r w:rsidRPr="007D01EC">
        <w:rPr>
          <w:rFonts w:ascii="TimesNewRoman,Bold" w:hAnsi="TimesNewRoman,Bold" w:cs="TimesNewRoman,Bold"/>
          <w:b/>
          <w:bCs/>
          <w:sz w:val="22"/>
        </w:rPr>
        <w:t>Kritériá spôsobilosti</w:t>
      </w:r>
    </w:p>
    <w:p w:rsidR="00D43DAE" w:rsidRPr="003052C9" w:rsidRDefault="00D43DAE" w:rsidP="00D43DAE">
      <w:pPr>
        <w:autoSpaceDE w:val="0"/>
        <w:autoSpaceDN w:val="0"/>
        <w:adjustRightInd w:val="0"/>
        <w:jc w:val="both"/>
      </w:pPr>
      <w:r w:rsidRPr="003052C9">
        <w:t>Oprávnenosť projektov na financovanie z PRV je podmienená splnením všetkých nasledovných kritérií spôsobilosti stanovených pre toto opatrenie: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</w:pPr>
      <w:r w:rsidRPr="003052C9">
        <w:t>Investície sa musia realizovať na území Slovenska.</w:t>
      </w:r>
    </w:p>
    <w:p w:rsidR="00D43DAE" w:rsidRPr="003052C9" w:rsidRDefault="00D43DAE" w:rsidP="00322A4A">
      <w:pPr>
        <w:pStyle w:val="mojNORMALNY"/>
        <w:numPr>
          <w:ilvl w:val="0"/>
          <w:numId w:val="38"/>
        </w:numPr>
        <w:spacing w:before="60" w:after="60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Žiadateľ nemá záväzky voči štátu po lehote splatnosti; voči žiadateľovi a na majetok, ktorý je predmetom projektu, nie je vedený výkon rozhodnutia. Preukazuje sa formou čestného vyhlásenia pri ŽoNFP, že má vysporiadané finančné vzťahy so štátnym rozpočtom, a potvrdením miestne príslušného správcu dane, nie starším ako tri mesiace, že žiadateľ nemá daňové nedoplatky a ďalšími dokladmi uvedenými v povinných prílohách žiadosti o NFP.</w:t>
      </w:r>
      <w:r w:rsidRPr="003052C9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D43DAE" w:rsidRPr="003052C9" w:rsidRDefault="00D43DAE" w:rsidP="00322A4A">
      <w:pPr>
        <w:numPr>
          <w:ilvl w:val="0"/>
          <w:numId w:val="38"/>
        </w:numPr>
        <w:spacing w:before="60" w:after="60"/>
        <w:jc w:val="both"/>
      </w:pPr>
      <w:r w:rsidRPr="003052C9">
        <w:t>Žiadateľ nemá evidované nedoplatky poistného na zdravotné poistenie, sociálne poistenie a príspevkov na starobné dôchodkové poistenie (splátkový kalendár potvrdený veriteľom sa akceptuje). Preukazuje sa pri ŽoNFP potvrdením Sociálnej poisťovne a každej zdravotnej poisťovne</w:t>
      </w:r>
      <w:r w:rsidR="005A3087">
        <w:t>,</w:t>
      </w:r>
      <w:r w:rsidR="007B4A3F">
        <w:t xml:space="preserve"> </w:t>
      </w:r>
      <w:r w:rsidRPr="003052C9">
        <w:t>nie starším ako tri mesiace).</w:t>
      </w:r>
    </w:p>
    <w:p w:rsidR="00D43DAE" w:rsidRPr="003052C9" w:rsidRDefault="00D43DAE" w:rsidP="00322A4A">
      <w:pPr>
        <w:pStyle w:val="mojNORMALNY"/>
        <w:numPr>
          <w:ilvl w:val="0"/>
          <w:numId w:val="38"/>
        </w:numPr>
        <w:spacing w:before="60" w:after="60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Žiadateľ s výmerou obhospod</w:t>
      </w:r>
      <w:r w:rsidR="003052C9">
        <w:rPr>
          <w:rFonts w:ascii="Times New Roman" w:hAnsi="Times New Roman"/>
          <w:sz w:val="24"/>
          <w:szCs w:val="24"/>
        </w:rPr>
        <w:t>a</w:t>
      </w:r>
      <w:r w:rsidRPr="003052C9">
        <w:rPr>
          <w:rFonts w:ascii="Times New Roman" w:hAnsi="Times New Roman"/>
          <w:sz w:val="24"/>
          <w:szCs w:val="24"/>
        </w:rPr>
        <w:t>rovanej lesnej pôdy menšou alebo rovnou 100 000 ha môže predložiť maximálne 1 ŽoNFP v rámci jedného výberového kola zverejneného vo výzve na predkladanie ŽoNFP pre toto opatrenie. Uvedené neplatí, ak tento žiadateľ predloží zvlášť 1 ŽoNFP pre cieľ Konvergencia a zvlášť 1 ŽoNFP pre oblasti mimo cieľa Konvergencia. Súčet oprávnených výdavkov v takto podaných 2 ŽoNFP nesmie prekročiť maximálne oprávnené výdavky.</w:t>
      </w:r>
    </w:p>
    <w:p w:rsidR="00D43DAE" w:rsidRPr="003052C9" w:rsidRDefault="00D43DAE" w:rsidP="00322A4A">
      <w:pPr>
        <w:pStyle w:val="mojNORMALNY"/>
        <w:spacing w:before="60" w:after="60"/>
        <w:ind w:left="720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Žiadateľ s výmerou obhospodarovanej lesnej pôdy väčšou ako 100 000 ha môže podať maximálne 6 ŽoNFP, z toho ľubovoľný počet za cieľ Konvergencia a za oblasti mimo cieľa Konvergencia. Každá takto podaná ŽoNFP môže byť do výšky maximálnych oprávnených výdavkov.</w:t>
      </w:r>
    </w:p>
    <w:p w:rsidR="00D43DAE" w:rsidRPr="003052C9" w:rsidRDefault="00D43DAE" w:rsidP="00322A4A">
      <w:pPr>
        <w:pStyle w:val="mojNORMALNY"/>
        <w:numPr>
          <w:ilvl w:val="0"/>
          <w:numId w:val="38"/>
        </w:numPr>
        <w:spacing w:before="60" w:after="60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Žiadateľ nie je v likvidácii; nie je voči nemu vedené konkurzné konanie; nie je v konkurze, v reštrukturalizácii a nebol voči nemu zamietnutý návrh na vyhlásenie konkurzu pre nedostatok majetku - preukazuje sa pri ŽoNFP potvrdením príslušného konkurzného súdu, nie starším ako tri mesiace; neporušil v predchádzajúcich 3 rokoch zákaz nelegálneho zamestnávania. Preukazuje sa pri ŽoNFP potvrdením príslušného inšpektorátu práce, nie starším ako tri mesiace.</w:t>
      </w:r>
    </w:p>
    <w:p w:rsidR="00D43DAE" w:rsidRPr="003052C9" w:rsidRDefault="00D43DAE" w:rsidP="00322A4A">
      <w:pPr>
        <w:pStyle w:val="mojNORMALNY"/>
        <w:numPr>
          <w:ilvl w:val="0"/>
          <w:numId w:val="38"/>
        </w:numPr>
        <w:spacing w:before="60" w:after="60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Investícia sa musí využívať najmenej päť rokov po podpise zmluvy o poskytnutí nenávratného finančného príspevku, pričom nesmie prejsť podstatnou zmenou, ktorá:</w:t>
      </w:r>
    </w:p>
    <w:p w:rsidR="00D43DAE" w:rsidRPr="003052C9" w:rsidRDefault="00D43DAE" w:rsidP="00322A4A">
      <w:pPr>
        <w:numPr>
          <w:ilvl w:val="1"/>
          <w:numId w:val="38"/>
        </w:numPr>
        <w:autoSpaceDE w:val="0"/>
        <w:autoSpaceDN w:val="0"/>
        <w:spacing w:before="60" w:after="60"/>
        <w:ind w:left="1434" w:hanging="357"/>
        <w:jc w:val="both"/>
      </w:pPr>
      <w:r w:rsidRPr="003052C9">
        <w:t>ovplyvní jej povahu alebo podmienky využívania alebo neoprávnene zvýhodní akýkoľvek podnik alebo verejný subjekt,</w:t>
      </w:r>
    </w:p>
    <w:p w:rsidR="00D43DAE" w:rsidRPr="003052C9" w:rsidRDefault="00D43DAE" w:rsidP="00322A4A">
      <w:pPr>
        <w:numPr>
          <w:ilvl w:val="1"/>
          <w:numId w:val="38"/>
        </w:numPr>
        <w:autoSpaceDE w:val="0"/>
        <w:autoSpaceDN w:val="0"/>
        <w:spacing w:before="60" w:after="60"/>
        <w:ind w:left="1434" w:hanging="357"/>
        <w:jc w:val="both"/>
      </w:pPr>
      <w:r w:rsidRPr="003052C9">
        <w:t>vyplýva buď zo zmeny povahy vlastníctva položky infraštruktúry alebo ukončenia alebo premiestnenia výrobnej činnosti, pričom premiestnenie hnuteľnej veci (stroj, manipulačná technika, mobilné technologické zariadenie a pod.) na inú prevádzku žiadateľa v rámci oblastí toho istého cieľa sa za podstatnú zmenu nepovažuje.</w:t>
      </w:r>
    </w:p>
    <w:p w:rsidR="00D01E8F" w:rsidRPr="0049436B" w:rsidRDefault="00D43DAE" w:rsidP="00D01E8F">
      <w:pPr>
        <w:numPr>
          <w:ilvl w:val="0"/>
          <w:numId w:val="38"/>
        </w:numPr>
        <w:autoSpaceDE w:val="0"/>
        <w:autoSpaceDN w:val="0"/>
        <w:adjustRightInd w:val="0"/>
        <w:spacing w:before="60" w:after="60" w:line="280" w:lineRule="exact"/>
        <w:jc w:val="both"/>
        <w:rPr>
          <w:bCs/>
        </w:rPr>
      </w:pPr>
      <w:r w:rsidRPr="0049436B">
        <w:t xml:space="preserve">Žiadateľ môže predložiť </w:t>
      </w:r>
      <w:r w:rsidR="00D01E8F" w:rsidRPr="0049436B">
        <w:rPr>
          <w:bCs/>
        </w:rPr>
        <w:t>žiadosť o platbu (ďalej len „ŽoP“) 1x ročne, pričom poslednú ŽoP musí predložiť  najneskôr do 30.06.2015.</w:t>
      </w:r>
    </w:p>
    <w:p w:rsidR="00D43DAE" w:rsidRPr="003052C9" w:rsidRDefault="00D43DAE" w:rsidP="00D01E8F">
      <w:pPr>
        <w:pStyle w:val="mojNORMALNY"/>
        <w:numPr>
          <w:ilvl w:val="0"/>
          <w:numId w:val="38"/>
        </w:numPr>
        <w:spacing w:before="60" w:after="60"/>
        <w:ind w:left="714" w:hanging="357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Žiadateľ musí deklarovať, že obhospodaruje les, resp. v prípade stavebných investícií preukázať vlastníctvo, resp. iný právny vzťah k predmetu projektu oprávňujúci užívať predmet projektu, pretrvávajúci najmenej šesť rokov po predložení ŽoNFP s výnimkou špecifických prípadov (nepreukazuje sa, ak bolo vydané právoplatné stavebné povolenie). Preukazuje sa pri predložení ŽoNFP. V prípade nákupu pozemkov pod stavbami, ktorých technické zhodnotenie je predmetom projektu a nákupu pozemkov (časti určenej na výstavbu, ktorá je predmetom projektu), žiadateľ preukáže vlastnícky vzťah pri prvej ŽoP, ktorá súvisí s nadobudnutím príslušného pozemku. V prípade výstavby objektov sa uvedené kritérium preukazuje pri podaní prvej ŽoP po skolaudovaní stavby.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Žiadateľ musí deklarovať, že pre každý vybraný projekt sa použije iba jeden zdroj financovania z EÚ alebo z národných zdrojov. Preukazuje sa pri ŽoNFP formou čestného vyhlásenia.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Všetky projekty podporovateľných lesníckych činností vyhotovuje odborne spôsobilá fyzická osoba (spôsobilá na výkon činností odborného lesného hospodára) alebo odborne spôsobilá právnická osoba (s predmetom činnosti v oblasti lesníctva). Preukazuje sa pri ŽoNFP.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Projekty ozdravných opatrení a projekty obnovy lesa odsúhlasuje svojím stanoviskom Národné lesnícke centrum Zvolen alebo Obvodný lesný úrad (ďalej len „OLÚ“), ( stačí jedno stanovisko) . Národné lesnícke centrum Zvolen alebo OLÚ ( resp. jeho právny nástupca) vo svojom stanovisku posúdi odbornú stránku projektov ozdravných opatrení a projektov obnovy lesa. Zároveň sa vyjadrí, či uvedené aktivity súvisia resp. nadväzujú na prírodnú katastrofu. Preukazuje sa pri ŽoNFP.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 xml:space="preserve">V prípade, že projekt obsahuje protipožiarne opatrenia ( cesty, nádrže a pod.) žiadateľ predkladá potvrdenie Národného lesnícke centra Zvolen, či je investícia výhradne v oblasti s vysokým resp. stredným stupňom ohrozenia ( resp. v obidvoch oblastiach ). Preukazuje sa pri ŽoNFP. 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V prípade, ak sa projekt dotýka záujmov ochrany prírody v zmysle zákona č. 543/2002 Z. z. o ochrane prírody a krajiny v znení neskorších predpisov, súčasťou žiadosti je aj súhlasné stanovisko príslušného orgánu štátnej správy ochrany prírody. Preukazuje sa pri ŽoNFP.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Podpora sa poskytne len tým pozemkovým spoločenstvám podľa zákona č. 97/2013 Z. z., ktoré majú právnu subjektivitu (§4) a združeniam (obchodným spoločnostiam) vlastníkov neštátnych lesov vytvoreným podľa Obchodného zákonníka alebo združeniam vlastníkov lesov podľa Občianskeho zákonníka (§ 20 f a nasl.). Preukazuje sa pri ŽoNFP.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V prípade ak prenajímateľom lesného majetku, resp. subjektom, ktorý zveril do správy lesný majetok je Slovenská republika, Slovenský pozemkový fond, obec, cirkev a tieto lesné pozemky sú žiadateľovi prenajaté, resp. zverené do správy na dobu neurčitú, takéto zmluvy, resp. zverenie do správy bude Pôdohospodárska platobná agentúra akceptovať.</w:t>
      </w:r>
    </w:p>
    <w:p w:rsidR="00B655F1" w:rsidRPr="003052C9" w:rsidRDefault="00B655F1" w:rsidP="00B655F1">
      <w:pPr>
        <w:pStyle w:val="Zkladntext3"/>
        <w:keepLines/>
        <w:spacing w:after="0" w:line="280" w:lineRule="exact"/>
        <w:jc w:val="both"/>
        <w:rPr>
          <w:b/>
          <w:bCs/>
          <w:color w:val="000000"/>
          <w:sz w:val="24"/>
          <w:szCs w:val="24"/>
        </w:rPr>
      </w:pPr>
    </w:p>
    <w:p w:rsidR="00CB65FF" w:rsidRDefault="00CB65FF" w:rsidP="00100FE4">
      <w:pPr>
        <w:pStyle w:val="Zkladntext3"/>
        <w:keepLines/>
        <w:numPr>
          <w:ilvl w:val="0"/>
          <w:numId w:val="2"/>
        </w:numPr>
        <w:spacing w:after="0" w:line="280" w:lineRule="exact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201B6E">
        <w:rPr>
          <w:b/>
          <w:bCs/>
          <w:color w:val="000000"/>
          <w:sz w:val="24"/>
          <w:szCs w:val="24"/>
        </w:rPr>
        <w:t xml:space="preserve">Bodovacie kritériá </w:t>
      </w:r>
    </w:p>
    <w:p w:rsidR="001929B7" w:rsidRPr="00201B6E" w:rsidRDefault="001929B7" w:rsidP="001929B7">
      <w:pPr>
        <w:pStyle w:val="Zkladntext3"/>
        <w:keepLines/>
        <w:spacing w:after="0" w:line="280" w:lineRule="exact"/>
        <w:ind w:left="720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8"/>
        <w:gridCol w:w="2943"/>
      </w:tblGrid>
      <w:tr w:rsidR="008D72F0" w:rsidRPr="00201B6E" w:rsidTr="00322A4A">
        <w:tc>
          <w:tcPr>
            <w:tcW w:w="709" w:type="dxa"/>
            <w:shd w:val="clear" w:color="auto" w:fill="92D050"/>
            <w:vAlign w:val="center"/>
          </w:tcPr>
          <w:p w:rsidR="00E77CFC" w:rsidRPr="00201B6E" w:rsidRDefault="00D72543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P. </w:t>
            </w:r>
            <w:r w:rsidR="00E77CFC" w:rsidRPr="00201B6E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4536" w:type="dxa"/>
            <w:shd w:val="clear" w:color="auto" w:fill="92D050"/>
          </w:tcPr>
          <w:p w:rsidR="00E77CFC" w:rsidRPr="00201B6E" w:rsidRDefault="00E77CFC" w:rsidP="005F32E7">
            <w:pPr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ind w:left="360" w:hanging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943" w:type="dxa"/>
            <w:shd w:val="clear" w:color="auto" w:fill="92D050"/>
            <w:vAlign w:val="center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Poznámka</w:t>
            </w:r>
          </w:p>
        </w:tc>
      </w:tr>
      <w:tr w:rsidR="009742CB" w:rsidRPr="00980184" w:rsidTr="00D72543">
        <w:tc>
          <w:tcPr>
            <w:tcW w:w="709" w:type="dxa"/>
            <w:vMerge w:val="restart"/>
            <w:vAlign w:val="center"/>
          </w:tcPr>
          <w:p w:rsidR="009742CB" w:rsidRPr="00201B6E" w:rsidRDefault="009742CB" w:rsidP="00D43DAE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43DA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742CB" w:rsidRPr="006932F9" w:rsidRDefault="00D43DAE" w:rsidP="0078738E">
            <w:pPr>
              <w:spacing w:before="120" w:after="120"/>
              <w:jc w:val="both"/>
            </w:pPr>
            <w:r w:rsidRPr="006932F9">
              <w:t xml:space="preserve">Projekt sa realizuje v okrese s priemernou mierou evidovanej nezamestnanosti v roku 2012: </w:t>
            </w:r>
          </w:p>
        </w:tc>
        <w:tc>
          <w:tcPr>
            <w:tcW w:w="708" w:type="dxa"/>
          </w:tcPr>
          <w:p w:rsidR="009742CB" w:rsidRPr="006932F9" w:rsidRDefault="009742CB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shd w:val="clear" w:color="auto" w:fill="92D050"/>
          </w:tcPr>
          <w:p w:rsidR="009742CB" w:rsidRPr="006932F9" w:rsidRDefault="006932F9" w:rsidP="00ED7A81">
            <w:pPr>
              <w:rPr>
                <w:b/>
                <w:bCs/>
                <w:color w:val="000000"/>
              </w:rPr>
            </w:pPr>
            <w:r w:rsidRPr="006932F9">
              <w:t>Pozri prílohu č. 2 tejto príručky „Priemerná miera evidovanej nezamestnanosti 2012“.</w:t>
            </w:r>
            <w:r>
              <w:t xml:space="preserve"> </w:t>
            </w:r>
            <w:r w:rsidRPr="00322A4A">
              <w:t>V prípade, ak sa projekt realizuje vo viacerých okresoch, body sa pridelia na základe nezamestnanosti vypočítanej aritmetickým priemerom z údajov nezamestnanosti všetkých okresov, kde sa projekt realizuje.</w:t>
            </w: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6932F9" w:rsidRDefault="00D43DAE" w:rsidP="00D43DAE">
            <w:pPr>
              <w:numPr>
                <w:ilvl w:val="0"/>
                <w:numId w:val="13"/>
              </w:numPr>
              <w:ind w:firstLine="951"/>
              <w:jc w:val="both"/>
            </w:pPr>
            <w:r w:rsidRPr="006932F9">
              <w:t>do 15 % vrátane</w:t>
            </w:r>
          </w:p>
        </w:tc>
        <w:tc>
          <w:tcPr>
            <w:tcW w:w="708" w:type="dxa"/>
          </w:tcPr>
          <w:p w:rsidR="00D43DAE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6932F9" w:rsidRDefault="00D43DAE" w:rsidP="00D43DAE">
            <w:pPr>
              <w:numPr>
                <w:ilvl w:val="0"/>
                <w:numId w:val="13"/>
              </w:numPr>
              <w:ind w:firstLine="951"/>
              <w:jc w:val="both"/>
            </w:pPr>
            <w:r w:rsidRPr="006932F9">
              <w:t xml:space="preserve">do 30 % vrátane </w:t>
            </w:r>
          </w:p>
        </w:tc>
        <w:tc>
          <w:tcPr>
            <w:tcW w:w="708" w:type="dxa"/>
          </w:tcPr>
          <w:p w:rsidR="00D43DAE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3DAE" w:rsidRPr="00980184" w:rsidTr="00D72543">
        <w:trPr>
          <w:trHeight w:val="267"/>
        </w:trPr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6932F9" w:rsidRDefault="00D43DAE" w:rsidP="006932F9">
            <w:pPr>
              <w:numPr>
                <w:ilvl w:val="0"/>
                <w:numId w:val="13"/>
              </w:numPr>
              <w:ind w:firstLine="951"/>
              <w:jc w:val="both"/>
            </w:pPr>
            <w:r w:rsidRPr="006932F9">
              <w:t>nad 30 %</w:t>
            </w:r>
          </w:p>
        </w:tc>
        <w:tc>
          <w:tcPr>
            <w:tcW w:w="708" w:type="dxa"/>
          </w:tcPr>
          <w:p w:rsidR="00D43DAE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0B7" w:rsidRPr="00980184" w:rsidTr="00D72543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F20B7" w:rsidRPr="006932F9" w:rsidRDefault="00D43DAE" w:rsidP="0078738E">
            <w:pPr>
              <w:spacing w:before="120" w:after="120"/>
              <w:rPr>
                <w:b/>
                <w:bCs/>
                <w:color w:val="000000"/>
              </w:rPr>
            </w:pPr>
            <w:r w:rsidRPr="006932F9">
              <w:t>Podiel oprávnených výdavkov na obnovu lesa na celkových oprávnených výdavkoch v projekte  je</w:t>
            </w:r>
          </w:p>
        </w:tc>
        <w:tc>
          <w:tcPr>
            <w:tcW w:w="708" w:type="dxa"/>
          </w:tcPr>
          <w:p w:rsidR="009F20B7" w:rsidRPr="0078738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shd w:val="clear" w:color="auto" w:fill="92D050"/>
          </w:tcPr>
          <w:p w:rsidR="009F20B7" w:rsidRPr="006932F9" w:rsidRDefault="009F20B7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 xml:space="preserve">vyšší 50% 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45-50%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40- 45%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35-40%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30-35%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25-30%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20-25%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10 -20%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1 do 10%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0,01% do 1%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6932F9" w:rsidRPr="00980184" w:rsidTr="001929B7">
        <w:tc>
          <w:tcPr>
            <w:tcW w:w="709" w:type="dxa"/>
            <w:vMerge w:val="restart"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spacing w:before="120" w:after="120"/>
              <w:rPr>
                <w:b/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>Projekt:</w:t>
            </w:r>
          </w:p>
        </w:tc>
        <w:tc>
          <w:tcPr>
            <w:tcW w:w="708" w:type="dxa"/>
            <w:vAlign w:val="center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shd w:val="clear" w:color="auto" w:fill="92D050"/>
          </w:tcPr>
          <w:p w:rsidR="006932F9" w:rsidRPr="0049436B" w:rsidRDefault="006932F9" w:rsidP="00ED7A81">
            <w:pPr>
              <w:pStyle w:val="Textpoznmkypodiarou"/>
              <w:spacing w:before="120"/>
              <w:rPr>
                <w:sz w:val="24"/>
                <w:szCs w:val="24"/>
              </w:rPr>
            </w:pPr>
            <w:r w:rsidRPr="006932F9">
              <w:rPr>
                <w:sz w:val="24"/>
                <w:szCs w:val="24"/>
              </w:rPr>
              <w:t>Maximálny počet bodov je 21. Pri výbere bodovaného druhu oprávnených výdavkov  sa za bodované výdavky  považujú žiadané oprávnené výdavky  na prevažujúci druh investície (okrem výdavkov  na obnovu lesa</w:t>
            </w:r>
            <w:r w:rsidR="00CC6CD6">
              <w:rPr>
                <w:sz w:val="24"/>
                <w:szCs w:val="24"/>
              </w:rPr>
              <w:t xml:space="preserve">, </w:t>
            </w:r>
            <w:r w:rsidR="00CC6CD6" w:rsidRPr="0049436B">
              <w:rPr>
                <w:sz w:val="24"/>
                <w:szCs w:val="24"/>
              </w:rPr>
              <w:t xml:space="preserve">bodovacie kritérium v písm. a) sa uplatnia pri výdavkoch na obnovu lesa nad 75 % oprávnených výdavkov </w:t>
            </w:r>
            <w:r w:rsidRPr="0049436B">
              <w:rPr>
                <w:sz w:val="24"/>
                <w:szCs w:val="24"/>
              </w:rPr>
              <w:t>), t. j. investície, ktorej žiadané oprávnené výdavky sú najvyššie.  Body sa nesčítavajú ani sa nerobí priemer v rámci jednotlivých druhov bodovaných výdavkov. Body sa prideľujú nezávisle od bodovacieho kritéria č. 2.</w:t>
            </w:r>
          </w:p>
          <w:p w:rsidR="00CC6CD6" w:rsidRPr="006932F9" w:rsidRDefault="00CC6CD6" w:rsidP="00ED7A81">
            <w:pPr>
              <w:pStyle w:val="Textpoznmkypodiarou"/>
              <w:spacing w:before="120"/>
              <w:rPr>
                <w:sz w:val="24"/>
                <w:szCs w:val="24"/>
              </w:rPr>
            </w:pPr>
            <w:r w:rsidRPr="0049436B">
              <w:rPr>
                <w:sz w:val="24"/>
                <w:szCs w:val="24"/>
              </w:rPr>
              <w:t xml:space="preserve">V písm. c), d), f) a h) </w:t>
            </w:r>
            <w:r w:rsidR="00812A1F" w:rsidRPr="0049436B">
              <w:rPr>
                <w:sz w:val="24"/>
                <w:szCs w:val="24"/>
              </w:rPr>
              <w:t xml:space="preserve">sa pre uplatnenie tohto kritéria za </w:t>
            </w:r>
            <w:r w:rsidRPr="0049436B">
              <w:rPr>
                <w:sz w:val="24"/>
                <w:szCs w:val="24"/>
              </w:rPr>
              <w:t>výdavky na výstavbu</w:t>
            </w:r>
            <w:r w:rsidR="00812A1F" w:rsidRPr="0049436B">
              <w:rPr>
                <w:sz w:val="24"/>
                <w:szCs w:val="24"/>
              </w:rPr>
              <w:t xml:space="preserve"> považujú aj výdavky na</w:t>
            </w:r>
            <w:r w:rsidR="00184EE9" w:rsidRPr="0049436B">
              <w:rPr>
                <w:sz w:val="24"/>
                <w:szCs w:val="24"/>
              </w:rPr>
              <w:t xml:space="preserve"> výstavbu, dostavbu, prestavbu a </w:t>
            </w:r>
            <w:r w:rsidR="00812A1F" w:rsidRPr="0049436B">
              <w:rPr>
                <w:sz w:val="24"/>
                <w:szCs w:val="24"/>
              </w:rPr>
              <w:t xml:space="preserve"> rekonštrukciu.</w:t>
            </w:r>
            <w:r>
              <w:rPr>
                <w:sz w:val="24"/>
                <w:szCs w:val="24"/>
              </w:rPr>
              <w:t xml:space="preserve"> </w:t>
            </w:r>
          </w:p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78738E">
              <w:rPr>
                <w:bCs/>
                <w:color w:val="000000"/>
              </w:rPr>
              <w:t xml:space="preserve">je zameraný  prioritne na obnovu lesa , pričom  výdavky na  obnovu lesa  predstavujú viac  ako 75 % celkových oprávnených výdavkov 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78738E">
              <w:rPr>
                <w:bCs/>
                <w:color w:val="000000"/>
              </w:rPr>
              <w:t xml:space="preserve">zahŕňa </w:t>
            </w:r>
            <w:r w:rsidRPr="0078738E">
              <w:t>realizáciu ozdravných opatrení v lesoch poškodených biotickými, abiotickými alebo antropogénnymi škodlivými prírodnými činiteľmi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78738E">
              <w:rPr>
                <w:bCs/>
                <w:color w:val="000000"/>
              </w:rPr>
              <w:t xml:space="preserve">zahŕňa aj </w:t>
            </w:r>
            <w:r w:rsidRPr="0078738E">
              <w:t xml:space="preserve">oprávnené výdavky na výstavbu lesných ciest v lesoch s vysokým stupňom ohrozenia požiarom, 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 xml:space="preserve">zahŕňa </w:t>
            </w:r>
            <w:r w:rsidRPr="0078738E">
              <w:rPr>
                <w:bCs/>
                <w:color w:val="000000"/>
              </w:rPr>
              <w:t xml:space="preserve">oprávnené  výdavky na výstavbu lesných ciest v lesoch so stredným stupňom ohrozenia požiarom 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 xml:space="preserve">zahŕňa </w:t>
            </w:r>
            <w:r w:rsidRPr="0078738E">
              <w:rPr>
                <w:bCs/>
                <w:color w:val="000000"/>
              </w:rPr>
              <w:t>oprávnené výdavky na protipožiarne monitorovacie systémy v lesoch s vysokým stupňom ohrozenia požiarom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 xml:space="preserve">zahŕňa </w:t>
            </w:r>
            <w:r w:rsidRPr="0078738E">
              <w:rPr>
                <w:bCs/>
                <w:color w:val="000000"/>
              </w:rPr>
              <w:t>oprávnené výdavky na výstavbu protipožiarnych nádrží a iných protipožiarnych opatrení v lesoch s vysokým stupňom ohrozenia požiarom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 xml:space="preserve">zahŕňa </w:t>
            </w:r>
            <w:r w:rsidRPr="0078738E">
              <w:rPr>
                <w:bCs/>
                <w:color w:val="000000"/>
              </w:rPr>
              <w:t>oprávnené výdavky na protipožiarne monitorovacie systémy v lesoch so stredným stupňom ohrozenia požiarom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 xml:space="preserve">zahŕňa </w:t>
            </w:r>
            <w:r w:rsidRPr="0078738E">
              <w:rPr>
                <w:bCs/>
                <w:color w:val="000000"/>
              </w:rPr>
              <w:t>oprávnené výdavky na výstavbu protipožiarnych nádrží a iných protipožiarnych opatrení v lesoch so stredným stupňom ohrozenia požiarom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0184" w:rsidRPr="00980184" w:rsidTr="0078738E">
        <w:trPr>
          <w:trHeight w:val="425"/>
        </w:trPr>
        <w:tc>
          <w:tcPr>
            <w:tcW w:w="709" w:type="dxa"/>
            <w:vMerge w:val="restart"/>
            <w:vAlign w:val="center"/>
          </w:tcPr>
          <w:p w:rsidR="00980184" w:rsidRPr="00201B6E" w:rsidRDefault="0098018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80184" w:rsidRPr="006932F9" w:rsidRDefault="006932F9" w:rsidP="0078738E">
            <w:pPr>
              <w:autoSpaceDE w:val="0"/>
              <w:autoSpaceDN w:val="0"/>
              <w:adjustRightInd w:val="0"/>
              <w:spacing w:before="120" w:after="120"/>
            </w:pPr>
            <w:r w:rsidRPr="006932F9">
              <w:t>Žiadateľ hospodári v lesoch:</w:t>
            </w:r>
          </w:p>
        </w:tc>
        <w:tc>
          <w:tcPr>
            <w:tcW w:w="708" w:type="dxa"/>
            <w:vAlign w:val="center"/>
          </w:tcPr>
          <w:p w:rsidR="00980184" w:rsidRPr="006932F9" w:rsidRDefault="00980184" w:rsidP="00980184"/>
        </w:tc>
        <w:tc>
          <w:tcPr>
            <w:tcW w:w="2943" w:type="dxa"/>
            <w:vMerge w:val="restart"/>
            <w:shd w:val="clear" w:color="auto" w:fill="92D050"/>
          </w:tcPr>
          <w:p w:rsidR="006932F9" w:rsidRPr="006932F9" w:rsidRDefault="006932F9" w:rsidP="00ED7A81">
            <w:r w:rsidRPr="006932F9">
              <w:t>Výmeru obhospodarovaného lesa a podiel smreka a buka potvrdí OLÚ resp. jeho právny nástupca.</w:t>
            </w:r>
          </w:p>
          <w:p w:rsidR="00980184" w:rsidRPr="006932F9" w:rsidRDefault="00980184" w:rsidP="005F32E7">
            <w:pPr>
              <w:rPr>
                <w:b/>
                <w:bCs/>
                <w:color w:val="000000"/>
              </w:rPr>
            </w:pPr>
          </w:p>
        </w:tc>
      </w:tr>
      <w:tr w:rsidR="00980184" w:rsidRPr="00980184" w:rsidTr="00D72543">
        <w:trPr>
          <w:trHeight w:val="603"/>
        </w:trPr>
        <w:tc>
          <w:tcPr>
            <w:tcW w:w="709" w:type="dxa"/>
            <w:vMerge/>
            <w:vAlign w:val="center"/>
          </w:tcPr>
          <w:p w:rsidR="00980184" w:rsidRPr="00201B6E" w:rsidRDefault="0098018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80184" w:rsidRPr="006932F9" w:rsidRDefault="006932F9" w:rsidP="00322A4A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  <w:tab w:val="num" w:pos="432"/>
              </w:tabs>
              <w:ind w:left="317" w:right="204" w:hanging="284"/>
            </w:pPr>
            <w:r w:rsidRPr="006932F9">
              <w:t>s prevahou smreka a buka (viac ako 50 % z celkovej výmery obhospodarovaných lesov),</w:t>
            </w:r>
          </w:p>
        </w:tc>
        <w:tc>
          <w:tcPr>
            <w:tcW w:w="708" w:type="dxa"/>
            <w:vAlign w:val="center"/>
          </w:tcPr>
          <w:p w:rsidR="00980184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3" w:type="dxa"/>
            <w:vMerge/>
            <w:shd w:val="clear" w:color="auto" w:fill="92D050"/>
          </w:tcPr>
          <w:p w:rsidR="00980184" w:rsidRPr="006932F9" w:rsidRDefault="00980184" w:rsidP="00356D18"/>
        </w:tc>
      </w:tr>
      <w:tr w:rsidR="00980184" w:rsidRPr="00980184" w:rsidTr="00D72543">
        <w:trPr>
          <w:trHeight w:val="690"/>
        </w:trPr>
        <w:tc>
          <w:tcPr>
            <w:tcW w:w="709" w:type="dxa"/>
            <w:vMerge/>
            <w:vAlign w:val="center"/>
          </w:tcPr>
          <w:p w:rsidR="00980184" w:rsidRPr="00201B6E" w:rsidRDefault="0098018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80184" w:rsidRPr="006932F9" w:rsidRDefault="006932F9" w:rsidP="00322A4A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687"/>
            </w:pPr>
            <w:r w:rsidRPr="006932F9">
              <w:t>s prevahou iných drevín (viac ako 50 % z celkovej výmery obhospodarovaných lesov).</w:t>
            </w:r>
          </w:p>
        </w:tc>
        <w:tc>
          <w:tcPr>
            <w:tcW w:w="708" w:type="dxa"/>
            <w:vAlign w:val="center"/>
          </w:tcPr>
          <w:p w:rsidR="00980184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3" w:type="dxa"/>
            <w:vMerge/>
            <w:shd w:val="clear" w:color="auto" w:fill="92D050"/>
          </w:tcPr>
          <w:p w:rsidR="00980184" w:rsidRPr="006932F9" w:rsidRDefault="00980184" w:rsidP="00356D18"/>
        </w:tc>
      </w:tr>
      <w:tr w:rsidR="006932F9" w:rsidRPr="00980184" w:rsidTr="0078738E">
        <w:trPr>
          <w:trHeight w:val="844"/>
        </w:trPr>
        <w:tc>
          <w:tcPr>
            <w:tcW w:w="709" w:type="dxa"/>
            <w:vMerge w:val="restart"/>
            <w:vAlign w:val="center"/>
          </w:tcPr>
          <w:p w:rsidR="006932F9" w:rsidRPr="00980184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18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rPr>
                <w:b/>
                <w:bCs/>
                <w:color w:val="000000"/>
              </w:rPr>
            </w:pPr>
            <w:r w:rsidRPr="006932F9">
              <w:t>Žiadateľ spĺňa aspoň jedno kritérium ekonomickej životaschopnosti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78738E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3" w:type="dxa"/>
            <w:vMerge w:val="restart"/>
            <w:shd w:val="clear" w:color="auto" w:fill="92D050"/>
          </w:tcPr>
          <w:p w:rsidR="006932F9" w:rsidRPr="006932F9" w:rsidRDefault="006932F9" w:rsidP="00ED7A81">
            <w:pPr>
              <w:rPr>
                <w:b/>
                <w:bCs/>
                <w:color w:val="000000"/>
              </w:rPr>
            </w:pPr>
            <w:r w:rsidRPr="006932F9">
              <w:t>Platí pre aspoň jeden rok 2011 alebo 2012. Spôsob uplatňovania je uvedený nižšie.</w:t>
            </w:r>
          </w:p>
        </w:tc>
      </w:tr>
      <w:tr w:rsidR="006932F9" w:rsidRPr="00980184" w:rsidTr="0078738E">
        <w:trPr>
          <w:trHeight w:val="844"/>
        </w:trPr>
        <w:tc>
          <w:tcPr>
            <w:tcW w:w="709" w:type="dxa"/>
            <w:vMerge/>
            <w:vAlign w:val="center"/>
          </w:tcPr>
          <w:p w:rsidR="006932F9" w:rsidRPr="00980184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jc w:val="both"/>
              <w:rPr>
                <w:b/>
                <w:bCs/>
                <w:color w:val="000000"/>
              </w:rPr>
            </w:pPr>
            <w:r w:rsidRPr="006932F9">
              <w:t>Žiadateľ spĺňa obidve kritériá ekonomickej životaschopnosti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98018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932F9" w:rsidRPr="00980184" w:rsidTr="001929B7">
        <w:trPr>
          <w:trHeight w:val="801"/>
        </w:trPr>
        <w:tc>
          <w:tcPr>
            <w:tcW w:w="709" w:type="dxa"/>
            <w:vMerge w:val="restart"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tabs>
                <w:tab w:val="num" w:pos="432"/>
              </w:tabs>
              <w:jc w:val="both"/>
              <w:rPr>
                <w:b/>
                <w:bCs/>
                <w:color w:val="000000"/>
              </w:rPr>
            </w:pPr>
            <w:r w:rsidRPr="006932F9">
              <w:t>Ekonomická primeranosť projektu v prepočte na výmeru lesa je:</w:t>
            </w:r>
          </w:p>
        </w:tc>
        <w:tc>
          <w:tcPr>
            <w:tcW w:w="708" w:type="dxa"/>
            <w:vAlign w:val="center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rPr>
          <w:trHeight w:val="801"/>
        </w:trPr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pStyle w:val="Odsekzoznamu"/>
              <w:numPr>
                <w:ilvl w:val="0"/>
                <w:numId w:val="42"/>
              </w:numPr>
              <w:tabs>
                <w:tab w:val="num" w:pos="432"/>
              </w:tabs>
              <w:spacing w:after="0"/>
              <w:jc w:val="both"/>
              <w:rPr>
                <w:szCs w:val="24"/>
              </w:rPr>
            </w:pPr>
            <w:r w:rsidRPr="006932F9">
              <w:rPr>
                <w:szCs w:val="24"/>
              </w:rPr>
              <w:t>do 2000 EUR/ha vrátane</w:t>
            </w:r>
          </w:p>
        </w:tc>
        <w:tc>
          <w:tcPr>
            <w:tcW w:w="708" w:type="dxa"/>
            <w:vAlign w:val="center"/>
          </w:tcPr>
          <w:p w:rsidR="006932F9" w:rsidRPr="0078738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3" w:type="dxa"/>
            <w:vMerge w:val="restart"/>
            <w:shd w:val="clear" w:color="auto" w:fill="92D050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6932F9">
              <w:rPr>
                <w:sz w:val="24"/>
                <w:szCs w:val="24"/>
              </w:rPr>
              <w:t>Ekonomická primeranosť sa vypočíta ako podiel výšky celkových žiadaných oprávnených výdavkov ku veľkosti obhospodarovanej plochy lesa žiadateľom. V prípade, že žiadateľ obhospodaruje viac ako 100 000 ha lesa, vynásobí sa počtom podaných projektov za žiadateľa.</w:t>
            </w:r>
          </w:p>
        </w:tc>
      </w:tr>
      <w:tr w:rsidR="006932F9" w:rsidRPr="00980184" w:rsidTr="001929B7">
        <w:trPr>
          <w:trHeight w:val="801"/>
        </w:trPr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pStyle w:val="Odsekzoznamu"/>
              <w:numPr>
                <w:ilvl w:val="0"/>
                <w:numId w:val="42"/>
              </w:numPr>
              <w:tabs>
                <w:tab w:val="num" w:pos="432"/>
              </w:tabs>
              <w:spacing w:after="0"/>
              <w:jc w:val="both"/>
              <w:rPr>
                <w:szCs w:val="24"/>
              </w:rPr>
            </w:pPr>
            <w:r w:rsidRPr="0078738E">
              <w:rPr>
                <w:szCs w:val="24"/>
              </w:rPr>
              <w:t>do 5000 EUR/ha vrátane</w:t>
            </w:r>
          </w:p>
        </w:tc>
        <w:tc>
          <w:tcPr>
            <w:tcW w:w="708" w:type="dxa"/>
            <w:vAlign w:val="center"/>
          </w:tcPr>
          <w:p w:rsidR="006932F9" w:rsidRPr="0078738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rPr>
          <w:trHeight w:val="801"/>
        </w:trPr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pStyle w:val="Odsekzoznamu"/>
              <w:numPr>
                <w:ilvl w:val="0"/>
                <w:numId w:val="42"/>
              </w:numPr>
              <w:tabs>
                <w:tab w:val="num" w:pos="432"/>
              </w:tabs>
              <w:spacing w:after="0"/>
              <w:jc w:val="both"/>
              <w:rPr>
                <w:szCs w:val="24"/>
              </w:rPr>
            </w:pPr>
            <w:r w:rsidRPr="006932F9">
              <w:rPr>
                <w:szCs w:val="24"/>
              </w:rPr>
              <w:t>nad 5000 EUR/ha</w:t>
            </w:r>
          </w:p>
        </w:tc>
        <w:tc>
          <w:tcPr>
            <w:tcW w:w="708" w:type="dxa"/>
            <w:vAlign w:val="center"/>
          </w:tcPr>
          <w:p w:rsidR="006932F9" w:rsidRPr="0078738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D72543">
        <w:tc>
          <w:tcPr>
            <w:tcW w:w="709" w:type="dxa"/>
            <w:vMerge w:val="restart"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6932F9" w:rsidRPr="0078738E" w:rsidRDefault="006932F9" w:rsidP="0078738E">
            <w:pPr>
              <w:jc w:val="both"/>
            </w:pPr>
            <w:r w:rsidRPr="0078738E">
              <w:t>Hodnotenie kvality projektu – kvalitatívne hodnotenie</w:t>
            </w:r>
          </w:p>
        </w:tc>
        <w:tc>
          <w:tcPr>
            <w:tcW w:w="708" w:type="dxa"/>
            <w:vMerge w:val="restart"/>
            <w:vAlign w:val="center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32F9">
              <w:rPr>
                <w:sz w:val="24"/>
                <w:szCs w:val="24"/>
              </w:rPr>
              <w:t>max 32</w:t>
            </w:r>
          </w:p>
        </w:tc>
        <w:tc>
          <w:tcPr>
            <w:tcW w:w="2943" w:type="dxa"/>
            <w:vMerge w:val="restart"/>
            <w:shd w:val="clear" w:color="auto" w:fill="92D050"/>
            <w:vAlign w:val="center"/>
          </w:tcPr>
          <w:p w:rsidR="006932F9" w:rsidRPr="006932F9" w:rsidRDefault="006932F9" w:rsidP="00ED7A81">
            <w:pPr>
              <w:spacing w:before="120"/>
            </w:pPr>
            <w:r w:rsidRPr="006932F9">
              <w:rPr>
                <w:b/>
              </w:rPr>
              <w:t>Hodnotenie 2 nezávislými hodnotiteľmi. Za každé podkritérium maximálne 4 body, spolu maximálne 32 bodov</w:t>
            </w:r>
          </w:p>
        </w:tc>
      </w:tr>
      <w:tr w:rsidR="006932F9" w:rsidRPr="00201B6E" w:rsidTr="00D72543">
        <w:tc>
          <w:tcPr>
            <w:tcW w:w="709" w:type="dxa"/>
            <w:vMerge/>
          </w:tcPr>
          <w:p w:rsidR="006932F9" w:rsidRPr="00201B6E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932F9" w:rsidRPr="006932F9" w:rsidRDefault="006932F9" w:rsidP="00322A4A">
            <w:pPr>
              <w:numPr>
                <w:ilvl w:val="0"/>
                <w:numId w:val="26"/>
              </w:numPr>
              <w:spacing w:before="120"/>
              <w:ind w:left="317" w:hanging="284"/>
            </w:pPr>
            <w:r w:rsidRPr="006932F9">
              <w:t>súlad projektu so strategickými dokumentmi lesného hospodárstva</w:t>
            </w:r>
          </w:p>
        </w:tc>
        <w:tc>
          <w:tcPr>
            <w:tcW w:w="708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201B6E" w:rsidTr="00D72543">
        <w:tc>
          <w:tcPr>
            <w:tcW w:w="709" w:type="dxa"/>
            <w:vMerge/>
          </w:tcPr>
          <w:p w:rsidR="006932F9" w:rsidRPr="00201B6E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932F9" w:rsidRPr="006932F9" w:rsidRDefault="006932F9" w:rsidP="00322A4A">
            <w:pPr>
              <w:numPr>
                <w:ilvl w:val="0"/>
                <w:numId w:val="26"/>
              </w:numPr>
              <w:spacing w:before="120"/>
              <w:ind w:left="317" w:hanging="284"/>
            </w:pPr>
            <w:r w:rsidRPr="006932F9">
              <w:t>vhodnosť, účelnosť a komplexnosť projektu</w:t>
            </w:r>
          </w:p>
        </w:tc>
        <w:tc>
          <w:tcPr>
            <w:tcW w:w="708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201B6E" w:rsidTr="00D72543">
        <w:tc>
          <w:tcPr>
            <w:tcW w:w="709" w:type="dxa"/>
            <w:vMerge/>
          </w:tcPr>
          <w:p w:rsidR="006932F9" w:rsidRPr="00201B6E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932F9" w:rsidRPr="006932F9" w:rsidRDefault="006932F9" w:rsidP="00322A4A">
            <w:pPr>
              <w:numPr>
                <w:ilvl w:val="0"/>
                <w:numId w:val="26"/>
              </w:numPr>
              <w:spacing w:before="120"/>
              <w:ind w:left="317" w:hanging="284"/>
            </w:pPr>
            <w:r w:rsidRPr="006932F9">
              <w:t xml:space="preserve">spôsob realizácie projektu, ekologické aspekty riešenia projektu, použitie životnému prostrediu šetrných technológii  a metód riešenia </w:t>
            </w:r>
          </w:p>
        </w:tc>
        <w:tc>
          <w:tcPr>
            <w:tcW w:w="708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201B6E" w:rsidTr="00D72543">
        <w:tc>
          <w:tcPr>
            <w:tcW w:w="709" w:type="dxa"/>
            <w:vMerge/>
          </w:tcPr>
          <w:p w:rsidR="006932F9" w:rsidRPr="00201B6E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932F9" w:rsidRPr="006932F9" w:rsidRDefault="006932F9" w:rsidP="00322A4A">
            <w:pPr>
              <w:numPr>
                <w:ilvl w:val="0"/>
                <w:numId w:val="26"/>
              </w:numPr>
              <w:spacing w:before="120"/>
              <w:ind w:left="317" w:hanging="284"/>
            </w:pPr>
            <w:r w:rsidRPr="006932F9">
              <w:t xml:space="preserve">rozpočet a nákladová efektívnosť </w:t>
            </w:r>
            <w:r w:rsidRPr="006932F9">
              <w:rPr>
                <w:bCs/>
              </w:rPr>
              <w:t xml:space="preserve">,udržateľnosť projektu </w:t>
            </w:r>
          </w:p>
        </w:tc>
        <w:tc>
          <w:tcPr>
            <w:tcW w:w="708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201B6E" w:rsidTr="00D72543">
        <w:tc>
          <w:tcPr>
            <w:tcW w:w="709" w:type="dxa"/>
            <w:vMerge/>
          </w:tcPr>
          <w:p w:rsidR="006932F9" w:rsidRPr="00201B6E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932F9" w:rsidRPr="006932F9" w:rsidRDefault="006932F9" w:rsidP="00322A4A">
            <w:pPr>
              <w:numPr>
                <w:ilvl w:val="0"/>
                <w:numId w:val="26"/>
              </w:numPr>
              <w:spacing w:before="120"/>
              <w:ind w:left="317" w:hanging="284"/>
              <w:rPr>
                <w:bCs/>
                <w:color w:val="000000"/>
              </w:rPr>
            </w:pPr>
            <w:r w:rsidRPr="006932F9">
              <w:t>administratívna, odborná a technická kapacita</w:t>
            </w:r>
          </w:p>
        </w:tc>
        <w:tc>
          <w:tcPr>
            <w:tcW w:w="708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201B6E" w:rsidTr="00946B52">
        <w:trPr>
          <w:trHeight w:val="418"/>
        </w:trPr>
        <w:tc>
          <w:tcPr>
            <w:tcW w:w="5245" w:type="dxa"/>
            <w:gridSpan w:val="2"/>
            <w:shd w:val="clear" w:color="auto" w:fill="92D050"/>
            <w:vAlign w:val="center"/>
          </w:tcPr>
          <w:p w:rsidR="006932F9" w:rsidRPr="00946B52" w:rsidRDefault="00215FEE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6B52">
              <w:rPr>
                <w:b/>
                <w:sz w:val="24"/>
                <w:szCs w:val="24"/>
              </w:rPr>
              <w:t>Spolu maximálne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6932F9" w:rsidRPr="00946B52" w:rsidRDefault="00215FE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6B5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43" w:type="dxa"/>
            <w:shd w:val="clear" w:color="auto" w:fill="92D050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29B7" w:rsidRDefault="001929B7" w:rsidP="00385344">
      <w:pPr>
        <w:pStyle w:val="mojNORMALNY"/>
        <w:ind w:left="142"/>
        <w:rPr>
          <w:rFonts w:ascii="Times New Roman" w:hAnsi="Times New Roman"/>
          <w:sz w:val="24"/>
          <w:szCs w:val="24"/>
        </w:rPr>
      </w:pPr>
    </w:p>
    <w:p w:rsidR="00385344" w:rsidRPr="00A05119" w:rsidRDefault="00385344" w:rsidP="00ED7A81">
      <w:pPr>
        <w:jc w:val="both"/>
      </w:pPr>
      <w:r w:rsidRPr="00ED7A81">
        <w:t>Podrobne rozpísané hodnotenie kvality projektu realizácie s príslušnými bodmi za jednotlivé kritériá, podrobnejší rozpis oprávnených činností, kritérií spôsobilosti a bodovacích kritérií je uvedený v Príručke pre žiadateľa o poskytnutie nenávratného finančného príspevku z Programu rozv</w:t>
      </w:r>
      <w:r w:rsidR="00DB14F1" w:rsidRPr="00ED7A81">
        <w:t>oja vidieka SR 2007 – 2013 pre 3</w:t>
      </w:r>
      <w:r w:rsidRPr="00ED7A81">
        <w:t>. výzvu na predkladanie žiadostí o nenávratný fina</w:t>
      </w:r>
      <w:r w:rsidR="00DB14F1" w:rsidRPr="00ED7A81">
        <w:t xml:space="preserve">nčný príspevok na opatrenie </w:t>
      </w:r>
      <w:r w:rsidR="00CD0363" w:rsidRPr="00ED7A81">
        <w:t xml:space="preserve">2.1 Obnova potenciálu lesného hospodárstva a zavedenie preventívnych opatrení </w:t>
      </w:r>
      <w:r w:rsidRPr="00ED7A81">
        <w:t>(ďalej len „Príručka“), ktorá tvorí</w:t>
      </w:r>
      <w:r w:rsidRPr="00A05119">
        <w:t xml:space="preserve"> prílohu tejto výzvy.</w:t>
      </w:r>
    </w:p>
    <w:p w:rsidR="00385344" w:rsidRPr="00A05119" w:rsidRDefault="00385344" w:rsidP="004E3D40">
      <w:pPr>
        <w:pStyle w:val="mojNORMALNY"/>
        <w:ind w:left="709" w:hanging="709"/>
        <w:rPr>
          <w:rFonts w:ascii="Times New Roman" w:hAnsi="Times New Roman"/>
          <w:sz w:val="24"/>
          <w:szCs w:val="24"/>
        </w:rPr>
      </w:pPr>
    </w:p>
    <w:p w:rsidR="00257FE5" w:rsidRPr="00322A4A" w:rsidRDefault="00257FE5" w:rsidP="005F32E7">
      <w:pPr>
        <w:pStyle w:val="Zkladntext"/>
        <w:keepLines/>
        <w:widowControl w:val="0"/>
        <w:numPr>
          <w:ilvl w:val="0"/>
          <w:numId w:val="8"/>
        </w:numPr>
        <w:tabs>
          <w:tab w:val="left" w:pos="-2694"/>
          <w:tab w:val="left" w:pos="284"/>
        </w:tabs>
        <w:spacing w:after="0" w:line="280" w:lineRule="exact"/>
        <w:ind w:hanging="720"/>
        <w:jc w:val="both"/>
        <w:rPr>
          <w:b/>
        </w:rPr>
      </w:pPr>
      <w:r w:rsidRPr="00322A4A">
        <w:rPr>
          <w:b/>
          <w:bCs/>
          <w:color w:val="000000"/>
        </w:rPr>
        <w:t>Ďalšie podmienky poskytnutia nenávratného finančného príspevku:</w:t>
      </w:r>
    </w:p>
    <w:p w:rsidR="00C90BDC" w:rsidRPr="00A05119" w:rsidRDefault="00C90BDC" w:rsidP="00C90BDC">
      <w:pPr>
        <w:pStyle w:val="Zkladntext"/>
        <w:keepLines/>
        <w:widowControl w:val="0"/>
        <w:tabs>
          <w:tab w:val="left" w:pos="-2694"/>
          <w:tab w:val="left" w:pos="284"/>
        </w:tabs>
        <w:spacing w:after="0" w:line="280" w:lineRule="exact"/>
        <w:ind w:left="720"/>
        <w:jc w:val="both"/>
        <w:rPr>
          <w:b/>
        </w:rPr>
      </w:pPr>
    </w:p>
    <w:p w:rsidR="00F02E52" w:rsidRPr="00A05119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bCs/>
          <w:sz w:val="24"/>
          <w:szCs w:val="24"/>
        </w:rPr>
        <w:t xml:space="preserve">ŽoNFP sa prijímajú na predpísanom tlačive zverejnenom na webovom sídle PPA: </w:t>
      </w:r>
      <w:hyperlink r:id="rId9" w:history="1">
        <w:r w:rsidRPr="00A05119">
          <w:rPr>
            <w:rStyle w:val="Hypertextovprepojenie"/>
            <w:rFonts w:ascii="Times New Roman" w:hAnsi="Times New Roman"/>
            <w:bCs/>
            <w:sz w:val="24"/>
            <w:szCs w:val="24"/>
          </w:rPr>
          <w:t>www.apa.sk</w:t>
        </w:r>
      </w:hyperlink>
      <w:r w:rsidRPr="00A05119">
        <w:rPr>
          <w:bCs/>
          <w:sz w:val="24"/>
          <w:szCs w:val="24"/>
        </w:rPr>
        <w:t>.</w:t>
      </w:r>
      <w:r w:rsidRPr="00A05119">
        <w:rPr>
          <w:sz w:val="24"/>
          <w:szCs w:val="24"/>
        </w:rPr>
        <w:t xml:space="preserve"> Pre vypracovanie ŽoNFP a pre ich administráciu platia ustanovenia uvedené v tejto </w:t>
      </w:r>
      <w:r w:rsidRPr="00A05119">
        <w:rPr>
          <w:sz w:val="24"/>
          <w:szCs w:val="24"/>
          <w:lang w:val="cs-CZ"/>
        </w:rPr>
        <w:t>P</w:t>
      </w:r>
      <w:r w:rsidRPr="00A05119">
        <w:rPr>
          <w:sz w:val="24"/>
          <w:szCs w:val="24"/>
        </w:rPr>
        <w:t xml:space="preserve">ríručke. </w:t>
      </w:r>
    </w:p>
    <w:p w:rsidR="00F02E52" w:rsidRPr="00A05119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sz w:val="24"/>
          <w:szCs w:val="24"/>
        </w:rPr>
        <w:t>Prípadné zmeny informácií zverejnených vo výzve alebo v </w:t>
      </w:r>
      <w:r w:rsidRPr="00A05119">
        <w:rPr>
          <w:sz w:val="24"/>
          <w:szCs w:val="24"/>
          <w:lang w:val="cs-CZ"/>
        </w:rPr>
        <w:t>P</w:t>
      </w:r>
      <w:r w:rsidRPr="00A05119">
        <w:rPr>
          <w:sz w:val="24"/>
          <w:szCs w:val="24"/>
        </w:rPr>
        <w:t xml:space="preserve">ríručke počas zverejnenia výzvy sa môžu týkať len výkladu a vysvetlenia informácií uvedených vo výzve alebo </w:t>
      </w:r>
      <w:r w:rsidRPr="00A05119">
        <w:rPr>
          <w:sz w:val="24"/>
          <w:szCs w:val="24"/>
          <w:lang w:val="cs-CZ"/>
        </w:rPr>
        <w:t>P</w:t>
      </w:r>
      <w:r w:rsidRPr="00A05119">
        <w:rPr>
          <w:sz w:val="24"/>
          <w:szCs w:val="24"/>
        </w:rPr>
        <w:t xml:space="preserve">ríručke. Zmeny budú zverejňované formou </w:t>
      </w:r>
      <w:r w:rsidRPr="00A05119">
        <w:rPr>
          <w:b/>
          <w:sz w:val="24"/>
          <w:szCs w:val="24"/>
        </w:rPr>
        <w:t>oznámenia</w:t>
      </w:r>
      <w:r w:rsidRPr="00A05119">
        <w:rPr>
          <w:sz w:val="24"/>
          <w:szCs w:val="24"/>
        </w:rPr>
        <w:t xml:space="preserve"> </w:t>
      </w:r>
      <w:r w:rsidRPr="00A05119">
        <w:rPr>
          <w:bCs/>
          <w:sz w:val="24"/>
          <w:szCs w:val="24"/>
        </w:rPr>
        <w:t xml:space="preserve">na webovom sídle PPA: </w:t>
      </w:r>
      <w:hyperlink r:id="rId10" w:history="1">
        <w:r w:rsidRPr="00A05119">
          <w:rPr>
            <w:rStyle w:val="Hypertextovprepojenie"/>
            <w:rFonts w:ascii="Times New Roman" w:hAnsi="Times New Roman"/>
            <w:sz w:val="24"/>
            <w:szCs w:val="24"/>
          </w:rPr>
          <w:t>www.apa.sk</w:t>
        </w:r>
      </w:hyperlink>
      <w:r w:rsidRPr="00A05119">
        <w:rPr>
          <w:sz w:val="24"/>
          <w:szCs w:val="24"/>
        </w:rPr>
        <w:t xml:space="preserve">. </w:t>
      </w:r>
    </w:p>
    <w:p w:rsidR="00F02E52" w:rsidRPr="00A05119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b/>
          <w:sz w:val="24"/>
          <w:szCs w:val="24"/>
        </w:rPr>
      </w:pPr>
      <w:r w:rsidRPr="00A05119">
        <w:rPr>
          <w:sz w:val="24"/>
          <w:szCs w:val="24"/>
        </w:rPr>
        <w:t xml:space="preserve">ŽoNFP sa podáva počas lehoty uvedenej v tejto výzve. PPA prijíma kompletné ŽoNFP poštou alebo priamo v podateľni PPA na adrese : </w:t>
      </w:r>
      <w:r w:rsidRPr="00A05119">
        <w:rPr>
          <w:b/>
          <w:sz w:val="24"/>
          <w:szCs w:val="24"/>
        </w:rPr>
        <w:t>Pôdohospodárska platobná agentúra, Dobrovičova 12, 815 26 Bratislava.</w:t>
      </w:r>
    </w:p>
    <w:p w:rsidR="00582051" w:rsidRPr="00A05119" w:rsidRDefault="00582051" w:rsidP="005F32E7">
      <w:pPr>
        <w:pStyle w:val="Zkladntext3"/>
        <w:numPr>
          <w:ilvl w:val="0"/>
          <w:numId w:val="15"/>
        </w:numPr>
        <w:spacing w:before="120"/>
        <w:jc w:val="both"/>
        <w:rPr>
          <w:b/>
          <w:sz w:val="24"/>
          <w:szCs w:val="24"/>
          <w:lang w:val="x-none"/>
        </w:rPr>
      </w:pPr>
      <w:r w:rsidRPr="00A05119">
        <w:rPr>
          <w:sz w:val="24"/>
          <w:szCs w:val="24"/>
        </w:rPr>
        <w:t>ŽoNFP sa predkladá v jednom originálnom vyhotovení,  podpísaná  štatutárnym zástupcom  žiadateľa alebo  osobou úradne splnomocnenou štatutárnym orgánom žiadateľa</w:t>
      </w:r>
      <w:r w:rsidRPr="00A05119">
        <w:rPr>
          <w:sz w:val="24"/>
          <w:szCs w:val="24"/>
          <w:lang w:val="cs-CZ"/>
        </w:rPr>
        <w:t xml:space="preserve"> spolu so </w:t>
      </w:r>
      <w:r w:rsidRPr="00A05119">
        <w:rPr>
          <w:sz w:val="24"/>
          <w:szCs w:val="24"/>
        </w:rPr>
        <w:t xml:space="preserve">všetkými </w:t>
      </w:r>
      <w:r w:rsidRPr="00A05119">
        <w:rPr>
          <w:sz w:val="24"/>
          <w:szCs w:val="24"/>
          <w:lang w:val="cs-CZ"/>
        </w:rPr>
        <w:t xml:space="preserve">povinnými  </w:t>
      </w:r>
      <w:r w:rsidRPr="00A05119">
        <w:rPr>
          <w:sz w:val="24"/>
          <w:szCs w:val="24"/>
        </w:rPr>
        <w:t xml:space="preserve">prílohami </w:t>
      </w:r>
      <w:r w:rsidRPr="00A05119">
        <w:rPr>
          <w:b/>
          <w:sz w:val="24"/>
          <w:szCs w:val="24"/>
        </w:rPr>
        <w:t>v zalepenej obálke/balíku s</w:t>
      </w:r>
      <w:r w:rsidRPr="00A05119">
        <w:rPr>
          <w:rStyle w:val="Siln"/>
          <w:b w:val="0"/>
          <w:bCs/>
          <w:color w:val="000000"/>
          <w:sz w:val="24"/>
          <w:szCs w:val="24"/>
        </w:rPr>
        <w:t xml:space="preserve"> </w:t>
      </w:r>
      <w:r w:rsidRPr="00A05119">
        <w:rPr>
          <w:b/>
          <w:bCs/>
          <w:sz w:val="24"/>
          <w:szCs w:val="24"/>
        </w:rPr>
        <w:t xml:space="preserve">uvedením čísla výzvy,  názvu žiadateľa a názvu opatrenia umiestneným v ľavom hornom rohu obálky. V pravom dolnom rohu obálky bude napísané </w:t>
      </w:r>
      <w:r w:rsidRPr="00A05119">
        <w:rPr>
          <w:b/>
          <w:sz w:val="24"/>
          <w:szCs w:val="24"/>
        </w:rPr>
        <w:t>„ Neotvárať“.</w:t>
      </w:r>
      <w:r w:rsidRPr="00A05119">
        <w:rPr>
          <w:color w:val="000000"/>
          <w:sz w:val="24"/>
          <w:szCs w:val="24"/>
        </w:rPr>
        <w:t xml:space="preserve"> </w:t>
      </w:r>
    </w:p>
    <w:p w:rsidR="00F02E52" w:rsidRPr="00A05119" w:rsidRDefault="00744930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sz w:val="24"/>
          <w:szCs w:val="24"/>
        </w:rPr>
        <w:t xml:space="preserve"> Ak žiadateľ ŽoNFP sa predkladá v balíku na ktorom nie je jasne vyznačená pečiatka odosielajúcej pošty, žiadateľ bude vyzvaný PPA na predloženie dokladu z príslušnej pošty o odoslaní </w:t>
      </w:r>
      <w:r w:rsidR="000B657F" w:rsidRPr="00A05119">
        <w:rPr>
          <w:sz w:val="24"/>
          <w:szCs w:val="24"/>
        </w:rPr>
        <w:t xml:space="preserve"> zásielky.</w:t>
      </w:r>
      <w:r w:rsidR="00F144EC" w:rsidRPr="00A05119">
        <w:rPr>
          <w:sz w:val="24"/>
          <w:szCs w:val="24"/>
        </w:rPr>
        <w:t xml:space="preserve"> </w:t>
      </w:r>
      <w:r w:rsidR="00F02E52" w:rsidRPr="00A05119">
        <w:rPr>
          <w:sz w:val="24"/>
          <w:szCs w:val="24"/>
        </w:rPr>
        <w:t>PPA prijíma a následne registruje len</w:t>
      </w:r>
      <w:r w:rsidR="00F02E52" w:rsidRPr="00A05119">
        <w:rPr>
          <w:b/>
          <w:i/>
          <w:sz w:val="24"/>
          <w:szCs w:val="24"/>
        </w:rPr>
        <w:t xml:space="preserve"> </w:t>
      </w:r>
      <w:r w:rsidR="00F02E52" w:rsidRPr="00A05119">
        <w:rPr>
          <w:sz w:val="24"/>
          <w:szCs w:val="24"/>
        </w:rPr>
        <w:t>ŽoNFP, ktoré obsahujú všetky náležitosti (</w:t>
      </w:r>
      <w:r w:rsidR="00F02E52" w:rsidRPr="00A05119">
        <w:rPr>
          <w:b/>
          <w:sz w:val="24"/>
          <w:szCs w:val="24"/>
        </w:rPr>
        <w:t>povinné prílohy</w:t>
      </w:r>
      <w:r w:rsidR="00F02E52" w:rsidRPr="00A05119">
        <w:rPr>
          <w:sz w:val="24"/>
          <w:szCs w:val="24"/>
        </w:rPr>
        <w:t xml:space="preserve">), </w:t>
      </w:r>
      <w:r w:rsidR="00F02E52" w:rsidRPr="00A05119">
        <w:rPr>
          <w:b/>
          <w:sz w:val="24"/>
          <w:szCs w:val="24"/>
        </w:rPr>
        <w:t>uvedené v</w:t>
      </w:r>
      <w:r w:rsidR="00F02E52" w:rsidRPr="00A05119">
        <w:rPr>
          <w:b/>
          <w:sz w:val="24"/>
          <w:szCs w:val="24"/>
          <w:lang w:val="cs-CZ"/>
        </w:rPr>
        <w:t xml:space="preserve"> časti  </w:t>
      </w:r>
      <w:r w:rsidR="00F02E52" w:rsidRPr="00A05119">
        <w:rPr>
          <w:b/>
          <w:smallCaps/>
          <w:sz w:val="24"/>
          <w:szCs w:val="24"/>
        </w:rPr>
        <w:t>D. Povinné Prílohy projektu pri podaní žiadosti</w:t>
      </w:r>
      <w:r w:rsidR="00F02E52" w:rsidRPr="00A05119">
        <w:rPr>
          <w:sz w:val="24"/>
          <w:szCs w:val="24"/>
        </w:rPr>
        <w:t>.</w:t>
      </w:r>
      <w:r w:rsidR="00F02E52" w:rsidRPr="00A05119">
        <w:rPr>
          <w:sz w:val="24"/>
          <w:szCs w:val="24"/>
          <w:lang w:val="cs-CZ"/>
        </w:rPr>
        <w:t xml:space="preserve"> ŽoNFP spolu </w:t>
      </w:r>
      <w:r w:rsidR="00F02E52" w:rsidRPr="00A05119">
        <w:rPr>
          <w:sz w:val="24"/>
          <w:szCs w:val="24"/>
        </w:rPr>
        <w:t xml:space="preserve">s Tabuľkovou časťou projektu vo formáte Excel žiadateľ predkladá 1x v tlačenej a </w:t>
      </w:r>
      <w:r w:rsidR="001929B7">
        <w:rPr>
          <w:sz w:val="24"/>
          <w:szCs w:val="24"/>
        </w:rPr>
        <w:t>1</w:t>
      </w:r>
      <w:r w:rsidR="00F02E52" w:rsidRPr="00A05119">
        <w:rPr>
          <w:sz w:val="24"/>
          <w:szCs w:val="24"/>
        </w:rPr>
        <w:t xml:space="preserve">x v elektronickej verzii. Poradie predložených príloh musí súhlasiť s poradím uvedeným v zozname povinných príloh, ktorý je súčasťou formuláru ŽoNFP. </w:t>
      </w:r>
    </w:p>
    <w:p w:rsidR="00F02E52" w:rsidRPr="00A05119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sz w:val="24"/>
          <w:szCs w:val="24"/>
          <w:lang w:val="cs-CZ"/>
        </w:rPr>
        <w:t>P</w:t>
      </w:r>
      <w:r w:rsidRPr="00A05119">
        <w:rPr>
          <w:sz w:val="24"/>
          <w:szCs w:val="24"/>
        </w:rPr>
        <w:t xml:space="preserve">ri osobnom doručení do podateľne ústredia PPA dátum na pečiatke podateľne ústredia PPA, nesmie byť vyšší, ako dátum stanovený </w:t>
      </w:r>
      <w:r w:rsidRPr="00A05119">
        <w:rPr>
          <w:sz w:val="24"/>
          <w:szCs w:val="24"/>
          <w:lang w:val="cs-CZ"/>
        </w:rPr>
        <w:t>za</w:t>
      </w:r>
      <w:r w:rsidRPr="00A05119">
        <w:rPr>
          <w:sz w:val="24"/>
          <w:szCs w:val="24"/>
        </w:rPr>
        <w:t xml:space="preserve"> posledný deň prijímania ŽoNFP na PPA</w:t>
      </w:r>
      <w:r w:rsidRPr="00A05119">
        <w:rPr>
          <w:sz w:val="24"/>
          <w:szCs w:val="24"/>
          <w:lang w:val="cs-CZ"/>
        </w:rPr>
        <w:t>.</w:t>
      </w:r>
      <w:r w:rsidRPr="00A05119">
        <w:rPr>
          <w:sz w:val="24"/>
          <w:szCs w:val="24"/>
        </w:rPr>
        <w:t xml:space="preserve"> </w:t>
      </w:r>
    </w:p>
    <w:p w:rsidR="00F02E52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sz w:val="24"/>
          <w:szCs w:val="24"/>
        </w:rPr>
        <w:t>Pri doručení poštou je rozhodujúci dátum pečiatky pošty na obálke/balíku. Dátum  poštovej  pečiatky nesmie byť vyšší, ako dátum stanovený za posledný deň prijímania ŽoNFP na PPA. PPA akceptuje uvedený dátum iba v prípade, ak takto podaná ŽoNFP bola prijatá podateľňou ústredia PPA najneskôr do 10-teho  kalendárneho dňa (vrátane dňa podania ŽoNFP na pošte) ) od dátumu stanoveného ako posledný deň prijímania ŽoNFP.</w:t>
      </w:r>
    </w:p>
    <w:p w:rsidR="00341CA6" w:rsidRPr="0049436B" w:rsidRDefault="00341CA6" w:rsidP="00F14483">
      <w:pPr>
        <w:pStyle w:val="Odsekzoznamu"/>
        <w:numPr>
          <w:ilvl w:val="0"/>
          <w:numId w:val="15"/>
        </w:numPr>
        <w:spacing w:before="120" w:after="120"/>
        <w:contextualSpacing w:val="0"/>
        <w:jc w:val="both"/>
        <w:rPr>
          <w:szCs w:val="24"/>
          <w:lang w:eastAsia="sk-SK"/>
        </w:rPr>
      </w:pPr>
      <w:r w:rsidRPr="0049436B">
        <w:rPr>
          <w:szCs w:val="24"/>
          <w:lang w:eastAsia="sk-SK"/>
        </w:rPr>
        <w:t xml:space="preserve">Ak žiadateľ predkladá  ŽoNFP  v balíku na ktorom nie je jasne vyznačená pečiatka s uvedením dátumu odosielajúcej pošty, žiadateľ bude vyzvaný PPA na predloženie dokladu z príslušnej pošty o odoslaní  zásielky. </w:t>
      </w:r>
    </w:p>
    <w:p w:rsidR="00341CA6" w:rsidRPr="0049436B" w:rsidRDefault="00341CA6" w:rsidP="00F14483">
      <w:pPr>
        <w:pStyle w:val="Odsekzoznamu"/>
        <w:numPr>
          <w:ilvl w:val="0"/>
          <w:numId w:val="15"/>
        </w:numPr>
        <w:spacing w:before="120" w:after="120"/>
        <w:contextualSpacing w:val="0"/>
        <w:jc w:val="both"/>
        <w:rPr>
          <w:szCs w:val="24"/>
          <w:lang w:eastAsia="sk-SK"/>
        </w:rPr>
      </w:pPr>
      <w:r w:rsidRPr="0049436B">
        <w:rPr>
          <w:szCs w:val="24"/>
          <w:lang w:eastAsia="sk-SK"/>
        </w:rPr>
        <w:t xml:space="preserve">PPA odporúča žiadateľom zasielať  balík doporučenou zásielkou. Takto zasielané zásielky je možné  podľa čísla a dátumu  podania overiť na stránke Slovenskej pošty </w:t>
      </w:r>
      <w:hyperlink r:id="rId11" w:history="1">
        <w:r w:rsidRPr="0049436B">
          <w:rPr>
            <w:szCs w:val="24"/>
            <w:lang w:eastAsia="sk-SK"/>
          </w:rPr>
          <w:t>http://tandt.posta.sk/</w:t>
        </w:r>
      </w:hyperlink>
    </w:p>
    <w:p w:rsidR="00F02E52" w:rsidRPr="008F3F01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sz w:val="24"/>
          <w:szCs w:val="24"/>
        </w:rPr>
        <w:t>ŽoNFP</w:t>
      </w:r>
      <w:r w:rsidRPr="00A05119">
        <w:rPr>
          <w:sz w:val="24"/>
          <w:szCs w:val="24"/>
          <w:lang w:val="cs-CZ"/>
        </w:rPr>
        <w:t xml:space="preserve"> doručené na PPA po uvedených </w:t>
      </w:r>
      <w:r w:rsidRPr="008F3F01">
        <w:rPr>
          <w:sz w:val="24"/>
          <w:szCs w:val="24"/>
        </w:rPr>
        <w:t>termínoch budú  žiadateľovi vrátené späť.</w:t>
      </w:r>
    </w:p>
    <w:p w:rsidR="00F02E52" w:rsidRPr="00A05119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8F3F01">
        <w:rPr>
          <w:sz w:val="24"/>
          <w:szCs w:val="24"/>
        </w:rPr>
        <w:t xml:space="preserve">PPA si vyhradzuje právo dodatočného vyžiadania </w:t>
      </w:r>
      <w:r w:rsidRPr="008F3F01">
        <w:rPr>
          <w:b/>
          <w:sz w:val="24"/>
          <w:szCs w:val="24"/>
        </w:rPr>
        <w:t>ďalších informácií</w:t>
      </w:r>
      <w:r w:rsidRPr="008F3F01">
        <w:rPr>
          <w:sz w:val="24"/>
          <w:szCs w:val="24"/>
        </w:rPr>
        <w:t xml:space="preserve"> (objasnenia nezrovnalostí) od konečného prijímateľa/žiadateľa v závislosti od charakteru projektu. Lehota na predloženie týchto informácií bude uverejnená vo výzve na doplnenie</w:t>
      </w:r>
      <w:r w:rsidRPr="00A05119">
        <w:rPr>
          <w:sz w:val="24"/>
          <w:szCs w:val="24"/>
        </w:rPr>
        <w:t xml:space="preserve"> ďalších informácií</w:t>
      </w:r>
      <w:r w:rsidRPr="00A05119">
        <w:rPr>
          <w:sz w:val="24"/>
          <w:szCs w:val="24"/>
          <w:lang w:val="cs-CZ"/>
        </w:rPr>
        <w:t xml:space="preserve"> a to </w:t>
      </w:r>
      <w:r w:rsidRPr="00A05119">
        <w:rPr>
          <w:b/>
          <w:sz w:val="24"/>
          <w:szCs w:val="24"/>
        </w:rPr>
        <w:t>do 10</w:t>
      </w:r>
      <w:r w:rsidRPr="00A05119">
        <w:rPr>
          <w:b/>
          <w:sz w:val="24"/>
          <w:szCs w:val="24"/>
          <w:lang w:val="cs-CZ"/>
        </w:rPr>
        <w:t>-tich</w:t>
      </w:r>
      <w:r w:rsidRPr="00A05119">
        <w:rPr>
          <w:b/>
          <w:sz w:val="24"/>
          <w:szCs w:val="24"/>
        </w:rPr>
        <w:t xml:space="preserve"> pracovných dní</w:t>
      </w:r>
      <w:r w:rsidRPr="00A05119">
        <w:rPr>
          <w:sz w:val="24"/>
          <w:szCs w:val="24"/>
        </w:rPr>
        <w:t xml:space="preserve"> odo dňa doručenia</w:t>
      </w:r>
      <w:r w:rsidRPr="00A05119">
        <w:rPr>
          <w:sz w:val="24"/>
          <w:szCs w:val="24"/>
          <w:lang w:val="cs-CZ"/>
        </w:rPr>
        <w:t xml:space="preserve"> </w:t>
      </w:r>
      <w:r w:rsidRPr="00A05119">
        <w:rPr>
          <w:sz w:val="24"/>
          <w:szCs w:val="24"/>
        </w:rPr>
        <w:t>výzvy osobne alebo poštou</w:t>
      </w:r>
      <w:r w:rsidRPr="00A05119">
        <w:rPr>
          <w:sz w:val="24"/>
          <w:szCs w:val="24"/>
          <w:lang w:val="cs-CZ"/>
        </w:rPr>
        <w:t xml:space="preserve"> na adresu </w:t>
      </w:r>
      <w:r w:rsidRPr="00A05119">
        <w:rPr>
          <w:sz w:val="24"/>
          <w:szCs w:val="24"/>
        </w:rPr>
        <w:t xml:space="preserve">určenú vo výzve na doplnenie ďalších informácií, pričom pre posúdenie včasného doručenia </w:t>
      </w:r>
      <w:r w:rsidR="00744930" w:rsidRPr="00A05119">
        <w:rPr>
          <w:sz w:val="24"/>
          <w:szCs w:val="24"/>
        </w:rPr>
        <w:t>ďalších informácií</w:t>
      </w:r>
      <w:r w:rsidRPr="00A05119">
        <w:rPr>
          <w:sz w:val="24"/>
          <w:szCs w:val="24"/>
        </w:rPr>
        <w:t xml:space="preserve"> (údajov) platia rovnaké podmienky, ako pri prijímaní ŽoNFP. </w:t>
      </w:r>
    </w:p>
    <w:p w:rsidR="00F02E52" w:rsidRDefault="00F02E52" w:rsidP="005F32E7">
      <w:pPr>
        <w:pStyle w:val="Zkladntext3"/>
        <w:keepLines/>
        <w:numPr>
          <w:ilvl w:val="1"/>
          <w:numId w:val="16"/>
        </w:numPr>
        <w:tabs>
          <w:tab w:val="clear" w:pos="1440"/>
          <w:tab w:val="num" w:pos="709"/>
        </w:tabs>
        <w:spacing w:after="0" w:line="280" w:lineRule="exact"/>
        <w:ind w:left="709" w:hanging="283"/>
        <w:jc w:val="both"/>
        <w:rPr>
          <w:sz w:val="24"/>
          <w:szCs w:val="24"/>
        </w:rPr>
      </w:pPr>
      <w:r w:rsidRPr="00A05119">
        <w:rPr>
          <w:sz w:val="24"/>
          <w:szCs w:val="24"/>
        </w:rPr>
        <w:t>ŽoNFP sa zoradia podľa počtu dosiahnutých bodov v zmysle bodovacích kritérií a vytvorí sa hranica finančných možností (posúdi sa súčet finančných požiadaviek všetkých zoradených ŽoNFP s finančnými možnosťami, t. j. finančným limitom na kontrahovanie stanovenom vo výzve).</w:t>
      </w:r>
    </w:p>
    <w:p w:rsidR="00C90BDC" w:rsidRPr="00A05119" w:rsidRDefault="00C90BDC" w:rsidP="00C90BDC">
      <w:pPr>
        <w:autoSpaceDE w:val="0"/>
        <w:autoSpaceDN w:val="0"/>
        <w:adjustRightInd w:val="0"/>
        <w:spacing w:line="280" w:lineRule="exact"/>
        <w:ind w:left="360" w:firstLine="360"/>
        <w:jc w:val="both"/>
        <w:rPr>
          <w:b/>
          <w:bCs/>
        </w:rPr>
      </w:pPr>
    </w:p>
    <w:p w:rsidR="00C90BDC" w:rsidRDefault="00C90BDC" w:rsidP="005F32E7">
      <w:pPr>
        <w:pStyle w:val="Zkladntext"/>
        <w:keepLines/>
        <w:widowControl w:val="0"/>
        <w:numPr>
          <w:ilvl w:val="0"/>
          <w:numId w:val="8"/>
        </w:numPr>
        <w:tabs>
          <w:tab w:val="left" w:pos="-2694"/>
          <w:tab w:val="left" w:pos="284"/>
        </w:tabs>
        <w:spacing w:after="0" w:line="280" w:lineRule="exact"/>
        <w:ind w:hanging="720"/>
        <w:jc w:val="both"/>
        <w:rPr>
          <w:b/>
          <w:bCs/>
          <w:color w:val="000000"/>
        </w:rPr>
      </w:pPr>
      <w:r w:rsidRPr="00A05119">
        <w:rPr>
          <w:b/>
          <w:bCs/>
          <w:color w:val="000000"/>
        </w:rPr>
        <w:t>Upozornenie:</w:t>
      </w:r>
    </w:p>
    <w:p w:rsidR="008F3F01" w:rsidRPr="00A05119" w:rsidRDefault="008F3F01" w:rsidP="008F3F01">
      <w:pPr>
        <w:pStyle w:val="Zkladntext"/>
        <w:keepLines/>
        <w:widowControl w:val="0"/>
        <w:tabs>
          <w:tab w:val="left" w:pos="-2694"/>
          <w:tab w:val="left" w:pos="284"/>
        </w:tabs>
        <w:spacing w:after="0" w:line="280" w:lineRule="exact"/>
        <w:ind w:left="720"/>
        <w:jc w:val="both"/>
        <w:rPr>
          <w:b/>
          <w:bCs/>
          <w:color w:val="000000"/>
        </w:rPr>
      </w:pPr>
    </w:p>
    <w:p w:rsidR="00C90BDC" w:rsidRPr="00A05119" w:rsidRDefault="00C90BDC" w:rsidP="008F3F01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8" w:hanging="284"/>
        <w:jc w:val="both"/>
        <w:rPr>
          <w:bCs/>
          <w:color w:val="000000"/>
          <w:sz w:val="24"/>
          <w:szCs w:val="24"/>
        </w:rPr>
      </w:pPr>
      <w:r w:rsidRPr="00A05119">
        <w:rPr>
          <w:sz w:val="24"/>
          <w:szCs w:val="24"/>
        </w:rPr>
        <w:t xml:space="preserve">Žiadateľ </w:t>
      </w:r>
      <w:r w:rsidRPr="00A05119">
        <w:rPr>
          <w:b/>
          <w:sz w:val="24"/>
          <w:szCs w:val="24"/>
        </w:rPr>
        <w:t>je povinný</w:t>
      </w:r>
      <w:r w:rsidRPr="00A05119">
        <w:rPr>
          <w:sz w:val="24"/>
          <w:szCs w:val="24"/>
        </w:rPr>
        <w:t xml:space="preserve"> pri obstarávaní tovarov, stavebných prác a služieb postupovať v súlade so zákonom č. 25/2006 Z.z. v znení neskorších predpisov</w:t>
      </w:r>
      <w:r w:rsidR="000B657F" w:rsidRPr="00A05119">
        <w:rPr>
          <w:sz w:val="24"/>
          <w:szCs w:val="24"/>
        </w:rPr>
        <w:t xml:space="preserve">, ďalej len „Zákon o VO“ </w:t>
      </w:r>
      <w:r w:rsidRPr="00A05119">
        <w:rPr>
          <w:sz w:val="24"/>
          <w:szCs w:val="24"/>
        </w:rPr>
        <w:t>a </w:t>
      </w:r>
      <w:r w:rsidRPr="00A05119">
        <w:rPr>
          <w:sz w:val="24"/>
          <w:szCs w:val="24"/>
          <w:lang w:val="cs-CZ"/>
        </w:rPr>
        <w:t>v </w:t>
      </w:r>
      <w:r w:rsidRPr="00A05119">
        <w:rPr>
          <w:sz w:val="24"/>
          <w:szCs w:val="24"/>
        </w:rPr>
        <w:t xml:space="preserve">súlade </w:t>
      </w:r>
      <w:r w:rsidRPr="00A05119">
        <w:rPr>
          <w:sz w:val="24"/>
          <w:szCs w:val="24"/>
          <w:lang w:val="cs-CZ"/>
        </w:rPr>
        <w:t xml:space="preserve">s </w:t>
      </w:r>
      <w:r w:rsidRPr="00A05119">
        <w:rPr>
          <w:bCs/>
          <w:color w:val="000000"/>
          <w:sz w:val="24"/>
          <w:szCs w:val="24"/>
        </w:rPr>
        <w:t xml:space="preserve"> Usmernením postupu žiadateľov pri obstarávaní tovarov, stavebných prác a služieb, stanoveným v Príručke, v kapitole 4 Usmernenie postupu žiadateľov pri obstarávaní tovarov, stavebných prác a služieb. </w:t>
      </w:r>
    </w:p>
    <w:p w:rsidR="00C90BDC" w:rsidRPr="00A05119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A05119">
        <w:rPr>
          <w:bCs/>
          <w:color w:val="000000"/>
          <w:sz w:val="24"/>
          <w:szCs w:val="24"/>
        </w:rPr>
        <w:t>Žiadateľ je povinný začať realizovať obstarávanie tovarov, stavebných prác a služieb najskôr v deň vyhlásenia výzvy na toto opatrenie.</w:t>
      </w:r>
    </w:p>
    <w:p w:rsidR="00C90BDC" w:rsidRPr="00A05119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A05119">
        <w:rPr>
          <w:bCs/>
          <w:color w:val="000000"/>
          <w:sz w:val="24"/>
          <w:szCs w:val="24"/>
        </w:rPr>
        <w:t>V závislosti na použitej metóde a postupe verejného obstarávania je žiadateľ povinný predložiť kompletnú dokumentáciu vzťahujúcu sa na verejné obstarávanie, ktorá tvorí súčasť povinných príloh v rámci ŽoNFP</w:t>
      </w:r>
      <w:r w:rsidRPr="00A05119">
        <w:rPr>
          <w:bCs/>
          <w:color w:val="000000"/>
          <w:sz w:val="24"/>
          <w:szCs w:val="24"/>
          <w:lang w:val="cs-CZ"/>
        </w:rPr>
        <w:t>.</w:t>
      </w:r>
    </w:p>
    <w:p w:rsidR="00C90BDC" w:rsidRPr="00A05119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A05119">
        <w:rPr>
          <w:bCs/>
          <w:color w:val="000000"/>
          <w:sz w:val="24"/>
          <w:szCs w:val="24"/>
        </w:rPr>
        <w:t>Doklady súvisiace s obstarávaním tovarov, stavebných prác a služieb musia byť v súlade s údajmi uvedenými v projektovej dokumentácii.</w:t>
      </w:r>
    </w:p>
    <w:p w:rsidR="000B657F" w:rsidRPr="00A05119" w:rsidRDefault="000B657F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A05119">
        <w:rPr>
          <w:bCs/>
          <w:color w:val="000000"/>
          <w:sz w:val="24"/>
          <w:szCs w:val="24"/>
        </w:rPr>
        <w:t>Pri zaraďovaní zákazky pred vyhlásením verejného obstarávania žiadateľ postupuje v zmysle definície predmetu zákazky stanovenej v § 3 Zákona o VO.</w:t>
      </w:r>
    </w:p>
    <w:p w:rsidR="00AF1898" w:rsidRPr="00322A4A" w:rsidRDefault="00AF1898" w:rsidP="00DB14F1">
      <w:pPr>
        <w:numPr>
          <w:ilvl w:val="0"/>
          <w:numId w:val="25"/>
        </w:numPr>
        <w:spacing w:before="120" w:after="120"/>
        <w:ind w:left="568" w:hanging="284"/>
        <w:jc w:val="both"/>
        <w:rPr>
          <w:bCs/>
          <w:color w:val="000000"/>
        </w:rPr>
      </w:pPr>
      <w:r w:rsidRPr="00A05119">
        <w:rPr>
          <w:bCs/>
          <w:color w:val="000000"/>
        </w:rPr>
        <w:t xml:space="preserve">V prípade, ak žiadateľ na vyhodnotenie ponúk použije aj iné kritéria ako je najnižšia cena, cena musí v rámci bodovacích kritérií predstavovať </w:t>
      </w:r>
      <w:r w:rsidRPr="00322A4A">
        <w:rPr>
          <w:bCs/>
          <w:color w:val="000000"/>
        </w:rPr>
        <w:t xml:space="preserve">hodnotu minimálne </w:t>
      </w:r>
      <w:r w:rsidR="002E0AE5" w:rsidRPr="00322A4A">
        <w:rPr>
          <w:bCs/>
          <w:color w:val="000000"/>
        </w:rPr>
        <w:t>80</w:t>
      </w:r>
      <w:r w:rsidRPr="00322A4A">
        <w:rPr>
          <w:bCs/>
          <w:color w:val="000000"/>
        </w:rPr>
        <w:t xml:space="preserve"> %.</w:t>
      </w:r>
    </w:p>
    <w:p w:rsidR="00C90BDC" w:rsidRPr="00322A4A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22A4A">
        <w:rPr>
          <w:sz w:val="24"/>
          <w:szCs w:val="24"/>
        </w:rPr>
        <w:t>Žiadateľ je povinný dodržiavať pravidlá týkajúce sa konfliktu záujmov súvislosti so zadávaním zákaziek  na dodanie tovaru, uskutočnenie stavebných prác</w:t>
      </w:r>
      <w:r w:rsidR="000749FB" w:rsidRPr="00322A4A">
        <w:rPr>
          <w:sz w:val="24"/>
          <w:szCs w:val="24"/>
        </w:rPr>
        <w:t xml:space="preserve">, </w:t>
      </w:r>
      <w:r w:rsidRPr="00322A4A">
        <w:rPr>
          <w:sz w:val="24"/>
          <w:szCs w:val="24"/>
        </w:rPr>
        <w:t>poskytnut</w:t>
      </w:r>
      <w:r w:rsidR="000749FB" w:rsidRPr="00322A4A">
        <w:rPr>
          <w:sz w:val="24"/>
          <w:szCs w:val="24"/>
        </w:rPr>
        <w:t>ím</w:t>
      </w:r>
      <w:r w:rsidRPr="00322A4A">
        <w:rPr>
          <w:sz w:val="24"/>
          <w:szCs w:val="24"/>
        </w:rPr>
        <w:t xml:space="preserve"> služieb a uzatvorením zmlúv súvisiacich s týmito zákazkami. Pravidlá sú podrobne uvedené v </w:t>
      </w:r>
      <w:r w:rsidRPr="00322A4A">
        <w:rPr>
          <w:bCs/>
          <w:color w:val="000000"/>
          <w:sz w:val="24"/>
          <w:szCs w:val="24"/>
        </w:rPr>
        <w:t> Príručke, v kapitole 4 Usmernenie postupu žiadateľov pri obstarávaní tovarov, stavebných prác a služieb – Konflikt záujmov.</w:t>
      </w:r>
    </w:p>
    <w:p w:rsidR="00C90BDC" w:rsidRPr="00322A4A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22A4A">
        <w:rPr>
          <w:bCs/>
          <w:color w:val="000000"/>
          <w:sz w:val="24"/>
          <w:szCs w:val="24"/>
        </w:rPr>
        <w:t>Pred podpísaním Zmluvy o poskytnutí nenávratného finančného príspevku z Programu rozvoja vidieka SR 2007 – 2013 neexistuje právny nárok na poskytnutie nenávratného finančného príspevku.</w:t>
      </w:r>
    </w:p>
    <w:p w:rsidR="00C90BDC" w:rsidRPr="00322A4A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22A4A">
        <w:rPr>
          <w:bCs/>
          <w:color w:val="000000"/>
          <w:sz w:val="24"/>
          <w:szCs w:val="24"/>
        </w:rPr>
        <w:t>Suma finančných prostriedkov z verejných zdrojov požadovaná žiadateľom vo formulári ŽoNFP v deň jej predloženia na PPA je konečná, a nie je možné ju v rámci procesu spracovávania dodatočne zvyšovať –  to platí aj v prípade, že sa sumy zmenia na základe obstarávania tovarov, stavebných prác a služieb.</w:t>
      </w:r>
    </w:p>
    <w:p w:rsidR="00C90BDC" w:rsidRPr="00322A4A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22A4A">
        <w:rPr>
          <w:bCs/>
          <w:color w:val="000000"/>
          <w:sz w:val="24"/>
          <w:szCs w:val="24"/>
        </w:rPr>
        <w:t xml:space="preserve">Neoprávnené výdavky  je žiadateľ povinný z požadovanej sumy odčleniť. </w:t>
      </w:r>
    </w:p>
    <w:p w:rsidR="00C90BDC" w:rsidRPr="00322A4A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22A4A">
        <w:rPr>
          <w:bCs/>
          <w:color w:val="000000"/>
          <w:sz w:val="24"/>
          <w:szCs w:val="24"/>
        </w:rPr>
        <w:t>PPA nebude akceptovať žiadosti o zmenu v ŽoNFP ovplyvňujúce jej bodové hodnotenie smerom nahor.</w:t>
      </w:r>
    </w:p>
    <w:p w:rsidR="00C90BDC" w:rsidRDefault="00C90BDC" w:rsidP="009F0BD8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8" w:hanging="284"/>
        <w:jc w:val="both"/>
        <w:rPr>
          <w:bCs/>
          <w:color w:val="000000"/>
          <w:sz w:val="24"/>
          <w:szCs w:val="24"/>
        </w:rPr>
      </w:pPr>
      <w:bookmarkStart w:id="1" w:name="_Toc305581937"/>
      <w:bookmarkStart w:id="2" w:name="_Toc305661312"/>
      <w:r w:rsidRPr="00A05119">
        <w:rPr>
          <w:bCs/>
          <w:color w:val="000000"/>
          <w:sz w:val="24"/>
          <w:szCs w:val="24"/>
        </w:rPr>
        <w:t>Žiadatelia môžu realizovať projekt aj pred uzatvorením zmluvy o poskytnutí nenávratného finančného príspevku, znášajú však riziko, že projekt na financovanie z PRV SR 2007 – 2013 nebude schválený.</w:t>
      </w:r>
      <w:bookmarkEnd w:id="1"/>
      <w:bookmarkEnd w:id="2"/>
      <w:r w:rsidRPr="00A05119">
        <w:rPr>
          <w:bCs/>
          <w:color w:val="000000"/>
          <w:sz w:val="24"/>
          <w:szCs w:val="24"/>
        </w:rPr>
        <w:t xml:space="preserve"> </w:t>
      </w:r>
    </w:p>
    <w:p w:rsidR="00E638B7" w:rsidRPr="0049436B" w:rsidRDefault="009F0BD8" w:rsidP="009F0BD8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8" w:hanging="284"/>
        <w:jc w:val="both"/>
        <w:rPr>
          <w:bCs/>
          <w:color w:val="000000"/>
          <w:sz w:val="24"/>
          <w:szCs w:val="24"/>
        </w:rPr>
      </w:pPr>
      <w:r w:rsidRPr="0049436B">
        <w:rPr>
          <w:sz w:val="22"/>
          <w:szCs w:val="22"/>
        </w:rPr>
        <w:t>V rámci opatrenia sa ŽoNFP zoradia podľa počtu dosiahnutých bodov v zmysle bodovacích kritérií 1 až 6 a vytvorí sa hranica finančných možností (posúdi sa súčet finančných požiadaviek všetkých zoradených ŽoNFP s finančnými možnosťami, t.j. finančným limitom na kontrahovanie stanovenom vo výzve).</w:t>
      </w:r>
    </w:p>
    <w:p w:rsidR="009F0BD8" w:rsidRPr="0049436B" w:rsidRDefault="009F0BD8" w:rsidP="009F0BD8">
      <w:pPr>
        <w:pStyle w:val="Zkladntext3"/>
        <w:keepLines/>
        <w:numPr>
          <w:ilvl w:val="1"/>
          <w:numId w:val="4"/>
        </w:numPr>
        <w:tabs>
          <w:tab w:val="num" w:pos="567"/>
        </w:tabs>
        <w:spacing w:after="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49436B">
        <w:rPr>
          <w:sz w:val="22"/>
          <w:szCs w:val="22"/>
        </w:rPr>
        <w:t>V prípade, ak hranica finančných možností bude vyššia ako finančný limit na kontrahovanie stanovený vo výzve, PPA bude bodovacie kritérium č. 7 vyhodnocovať len v projektoch, ktoré dosiahli hranicu v bodovacích kritériách 1 až 6 -  46 bodov.</w:t>
      </w:r>
    </w:p>
    <w:p w:rsidR="009F0BD8" w:rsidRPr="00A05119" w:rsidRDefault="009F0BD8" w:rsidP="009F0BD8">
      <w:pPr>
        <w:pStyle w:val="Zkladntext3"/>
        <w:keepLines/>
        <w:spacing w:after="0" w:line="280" w:lineRule="exact"/>
        <w:ind w:left="567"/>
        <w:jc w:val="both"/>
        <w:rPr>
          <w:bCs/>
          <w:color w:val="000000"/>
          <w:sz w:val="24"/>
          <w:szCs w:val="24"/>
        </w:rPr>
      </w:pPr>
    </w:p>
    <w:p w:rsidR="00420DF8" w:rsidRPr="00A05119" w:rsidRDefault="00420DF8" w:rsidP="00CA61DB">
      <w:pPr>
        <w:pStyle w:val="Normlnywebov"/>
        <w:tabs>
          <w:tab w:val="num" w:pos="567"/>
        </w:tabs>
        <w:spacing w:before="0" w:beforeAutospacing="0" w:after="0" w:afterAutospacing="0"/>
        <w:ind w:left="567" w:hanging="283"/>
        <w:rPr>
          <w:rFonts w:ascii="Times New Roman" w:hAnsi="Times New Roman"/>
          <w:sz w:val="24"/>
          <w:szCs w:val="24"/>
        </w:rPr>
      </w:pPr>
    </w:p>
    <w:p w:rsidR="000E31C3" w:rsidRPr="00A05119" w:rsidRDefault="000E31C3" w:rsidP="005F32E7">
      <w:pPr>
        <w:pStyle w:val="Zkladntext"/>
        <w:keepLines/>
        <w:widowControl w:val="0"/>
        <w:numPr>
          <w:ilvl w:val="0"/>
          <w:numId w:val="9"/>
        </w:numPr>
        <w:tabs>
          <w:tab w:val="left" w:pos="-2694"/>
          <w:tab w:val="left" w:pos="284"/>
        </w:tabs>
        <w:spacing w:after="0" w:line="280" w:lineRule="exact"/>
        <w:ind w:left="284" w:hanging="284"/>
        <w:jc w:val="both"/>
        <w:rPr>
          <w:b/>
          <w:bCs/>
          <w:color w:val="000000"/>
        </w:rPr>
      </w:pPr>
      <w:r w:rsidRPr="00A05119">
        <w:rPr>
          <w:b/>
          <w:bCs/>
          <w:color w:val="000000"/>
        </w:rPr>
        <w:t>Kontaktné údaje a spôsob komunikácie:</w:t>
      </w:r>
    </w:p>
    <w:p w:rsidR="008F3F01" w:rsidRDefault="008F3F01" w:rsidP="008F3F01">
      <w:pPr>
        <w:pStyle w:val="Normlnywebov"/>
        <w:spacing w:before="0" w:beforeAutospacing="0" w:after="0" w:afterAutospacing="0"/>
        <w:ind w:left="357" w:firstLine="0"/>
        <w:rPr>
          <w:rFonts w:ascii="Times New Roman" w:hAnsi="Times New Roman"/>
          <w:sz w:val="24"/>
          <w:szCs w:val="24"/>
        </w:rPr>
      </w:pPr>
    </w:p>
    <w:p w:rsidR="00D86CDA" w:rsidRPr="00A05119" w:rsidRDefault="00D86CDA" w:rsidP="008F3F01">
      <w:pPr>
        <w:pStyle w:val="Normlnywebov"/>
        <w:spacing w:before="0" w:beforeAutospacing="0" w:after="0" w:afterAutospacing="0"/>
        <w:ind w:left="357" w:firstLine="0"/>
        <w:rPr>
          <w:rFonts w:ascii="Times New Roman" w:hAnsi="Times New Roman"/>
          <w:sz w:val="24"/>
          <w:szCs w:val="24"/>
        </w:rPr>
      </w:pPr>
      <w:r w:rsidRPr="00A05119">
        <w:rPr>
          <w:rFonts w:ascii="Times New Roman" w:hAnsi="Times New Roman"/>
          <w:sz w:val="24"/>
          <w:szCs w:val="24"/>
        </w:rPr>
        <w:t xml:space="preserve">Prípadné ďalšie informácie je možné získať na tel. č. 02/52733800, e–mail: </w:t>
      </w:r>
      <w:hyperlink r:id="rId12" w:history="1">
        <w:r w:rsidRPr="00A05119">
          <w:rPr>
            <w:rStyle w:val="Hypertextovprepojenie"/>
            <w:rFonts w:ascii="Times New Roman" w:hAnsi="Times New Roman"/>
            <w:bCs/>
            <w:sz w:val="24"/>
            <w:szCs w:val="24"/>
          </w:rPr>
          <w:t>zelmira.milkova@apa.sk</w:t>
        </w:r>
      </w:hyperlink>
      <w:r w:rsidRPr="00A05119">
        <w:rPr>
          <w:rStyle w:val="Hypertextovprepojenie"/>
          <w:rFonts w:ascii="Times New Roman" w:hAnsi="Times New Roman"/>
          <w:bCs/>
          <w:sz w:val="24"/>
          <w:szCs w:val="24"/>
        </w:rPr>
        <w:t>.</w:t>
      </w:r>
      <w:r w:rsidR="00DB6783" w:rsidRPr="00A05119">
        <w:rPr>
          <w:rStyle w:val="Hypertextovprepojenie"/>
          <w:rFonts w:ascii="Times New Roman" w:hAnsi="Times New Roman"/>
          <w:bCs/>
          <w:sz w:val="24"/>
          <w:szCs w:val="24"/>
          <w:u w:val="none"/>
        </w:rPr>
        <w:t xml:space="preserve"> </w:t>
      </w:r>
      <w:r w:rsidRPr="00A05119">
        <w:rPr>
          <w:rFonts w:ascii="Times New Roman" w:hAnsi="Times New Roman"/>
          <w:sz w:val="24"/>
          <w:szCs w:val="24"/>
        </w:rPr>
        <w:t>Všetky informácie o adresách a telefónych číslach získate na</w:t>
      </w:r>
      <w:r w:rsidRPr="00A05119">
        <w:rPr>
          <w:rStyle w:val="Hypertextovprepojenie"/>
          <w:rFonts w:ascii="Times New Roman" w:hAnsi="Times New Roman"/>
          <w:bCs/>
          <w:sz w:val="24"/>
          <w:szCs w:val="24"/>
          <w:u w:val="none"/>
        </w:rPr>
        <w:t> </w:t>
      </w:r>
      <w:hyperlink r:id="rId13" w:history="1">
        <w:r w:rsidRPr="00A05119">
          <w:rPr>
            <w:rStyle w:val="Hypertextovprepojenie"/>
            <w:rFonts w:ascii="Times New Roman" w:hAnsi="Times New Roman"/>
            <w:bCs/>
            <w:sz w:val="24"/>
            <w:szCs w:val="24"/>
          </w:rPr>
          <w:t>http://www.apa</w:t>
        </w:r>
      </w:hyperlink>
      <w:r w:rsidRPr="00A05119">
        <w:rPr>
          <w:rFonts w:ascii="Times New Roman" w:hAnsi="Times New Roman"/>
          <w:bCs/>
          <w:sz w:val="24"/>
          <w:szCs w:val="24"/>
          <w:u w:val="single"/>
        </w:rPr>
        <w:t>.</w:t>
      </w:r>
      <w:r w:rsidRPr="00A05119">
        <w:rPr>
          <w:rStyle w:val="Hypertextovprepojenie"/>
          <w:rFonts w:ascii="Times New Roman" w:hAnsi="Times New Roman"/>
          <w:sz w:val="24"/>
          <w:szCs w:val="24"/>
        </w:rPr>
        <w:t>sk</w:t>
      </w:r>
      <w:r w:rsidRPr="00A05119">
        <w:rPr>
          <w:rFonts w:ascii="Times New Roman" w:hAnsi="Times New Roman"/>
          <w:sz w:val="24"/>
          <w:szCs w:val="24"/>
        </w:rPr>
        <w:t xml:space="preserve">. Žiadosti o poskytnutie informácií v zmysle zákona č. 211/2000 Z. z. o slobodnom prístupe k informáciám a o zmene a doplnení niektorých zákonov v znení neskorších predpisov adresujte na kanceláriu generálneho riaditeľa PPA, Dobrovičova </w:t>
      </w:r>
      <w:r w:rsidR="00577E82" w:rsidRPr="00A05119">
        <w:rPr>
          <w:rFonts w:ascii="Times New Roman" w:hAnsi="Times New Roman"/>
          <w:sz w:val="24"/>
          <w:szCs w:val="24"/>
        </w:rPr>
        <w:t>12</w:t>
      </w:r>
      <w:r w:rsidRPr="00A05119">
        <w:rPr>
          <w:rFonts w:ascii="Times New Roman" w:hAnsi="Times New Roman"/>
          <w:sz w:val="24"/>
          <w:szCs w:val="24"/>
        </w:rPr>
        <w:t>, 815 26 Bratislava. PPA bude reagovať v zmysle zákona č. 211/2000 Z. z na otázky, na ktoré je možné odpovedať informáciami zverejnenými na webov</w:t>
      </w:r>
      <w:r w:rsidR="00C90BDC" w:rsidRPr="00A05119">
        <w:rPr>
          <w:rFonts w:ascii="Times New Roman" w:hAnsi="Times New Roman"/>
          <w:sz w:val="24"/>
          <w:szCs w:val="24"/>
        </w:rPr>
        <w:t>om sídle</w:t>
      </w:r>
      <w:r w:rsidRPr="00A05119">
        <w:rPr>
          <w:rFonts w:ascii="Times New Roman" w:hAnsi="Times New Roman"/>
          <w:sz w:val="24"/>
          <w:szCs w:val="24"/>
        </w:rPr>
        <w:t xml:space="preserve"> PPA len odkazmi na príslušné zverejnené dokumenty. V procese vyhodnocovania žiadostí PPA </w:t>
      </w:r>
      <w:r w:rsidRPr="00A05119">
        <w:rPr>
          <w:rFonts w:ascii="Times New Roman" w:hAnsi="Times New Roman"/>
          <w:b/>
          <w:sz w:val="24"/>
          <w:szCs w:val="24"/>
        </w:rPr>
        <w:t>neposkytne informácie</w:t>
      </w:r>
      <w:r w:rsidRPr="00A05119">
        <w:rPr>
          <w:rFonts w:ascii="Times New Roman" w:hAnsi="Times New Roman"/>
          <w:sz w:val="24"/>
          <w:szCs w:val="24"/>
        </w:rPr>
        <w:t xml:space="preserve"> o stave vyhodnocovania žiadostí. O konečnom výsledku vyhodnotenia ŽoNFP bude žiadateľ písomne informovaný. Odpovede poskytnuté žiadateľovi telefonicky ústnou formou, pokiaľ neboli spracované do písomnej podoby, nemožno považovať za záväzné a žiadateľ sa na ne nemôže odvolať. </w:t>
      </w:r>
    </w:p>
    <w:p w:rsidR="007C12F4" w:rsidRPr="00A05119" w:rsidRDefault="007C12F4" w:rsidP="007C12F4">
      <w:pPr>
        <w:pStyle w:val="Normlnywebov"/>
        <w:spacing w:before="0" w:beforeAutospacing="0" w:after="0" w:afterAutospacing="0"/>
        <w:ind w:left="360" w:firstLine="0"/>
        <w:rPr>
          <w:rFonts w:ascii="Times New Roman" w:hAnsi="Times New Roman"/>
          <w:sz w:val="24"/>
          <w:szCs w:val="24"/>
        </w:rPr>
      </w:pPr>
    </w:p>
    <w:p w:rsidR="00D86CDA" w:rsidRPr="00A05119" w:rsidRDefault="00D86CDA" w:rsidP="00D86CDA">
      <w:r w:rsidRPr="0049436B">
        <w:t xml:space="preserve">V Bratislave </w:t>
      </w:r>
      <w:r w:rsidR="00CD4FF7">
        <w:t>31</w:t>
      </w:r>
      <w:r w:rsidR="00ED7A81" w:rsidRPr="0049436B">
        <w:t>.</w:t>
      </w:r>
      <w:r w:rsidR="00CD4FF7">
        <w:t>01.2014</w:t>
      </w:r>
      <w:r w:rsidRPr="00A05119">
        <w:t xml:space="preserve">        </w:t>
      </w:r>
    </w:p>
    <w:p w:rsidR="00D86CDA" w:rsidRPr="00A05119" w:rsidRDefault="00D86CDA" w:rsidP="00D86CDA">
      <w:pPr>
        <w:pStyle w:val="Zarkazkladnhotextu2"/>
        <w:rPr>
          <w:sz w:val="24"/>
          <w:szCs w:val="24"/>
        </w:rPr>
      </w:pPr>
    </w:p>
    <w:p w:rsidR="007C12F4" w:rsidRDefault="007C12F4" w:rsidP="007C12F4">
      <w:pPr>
        <w:tabs>
          <w:tab w:val="left" w:pos="5685"/>
        </w:tabs>
        <w:ind w:left="6372"/>
        <w:rPr>
          <w:b/>
          <w:bCs/>
          <w:noProof/>
        </w:rPr>
      </w:pPr>
    </w:p>
    <w:p w:rsidR="00CD4FF7" w:rsidRDefault="00CD4FF7" w:rsidP="007C12F4">
      <w:pPr>
        <w:tabs>
          <w:tab w:val="left" w:pos="5685"/>
        </w:tabs>
        <w:ind w:left="6372"/>
        <w:rPr>
          <w:b/>
          <w:bCs/>
          <w:noProof/>
        </w:rPr>
      </w:pPr>
    </w:p>
    <w:p w:rsidR="00CD4FF7" w:rsidRDefault="00CD4FF7" w:rsidP="007C12F4">
      <w:pPr>
        <w:tabs>
          <w:tab w:val="left" w:pos="5685"/>
        </w:tabs>
        <w:ind w:left="6372"/>
        <w:rPr>
          <w:b/>
          <w:bCs/>
          <w:noProof/>
        </w:rPr>
      </w:pPr>
    </w:p>
    <w:p w:rsidR="00CD4FF7" w:rsidRDefault="00CD4FF7" w:rsidP="007C12F4">
      <w:pPr>
        <w:tabs>
          <w:tab w:val="left" w:pos="5685"/>
        </w:tabs>
        <w:ind w:left="6372"/>
        <w:rPr>
          <w:b/>
          <w:bCs/>
          <w:noProof/>
        </w:rPr>
      </w:pPr>
    </w:p>
    <w:p w:rsidR="00CD4FF7" w:rsidRDefault="00CD4FF7" w:rsidP="007C12F4">
      <w:pPr>
        <w:tabs>
          <w:tab w:val="left" w:pos="5685"/>
        </w:tabs>
        <w:ind w:left="6372"/>
        <w:rPr>
          <w:b/>
          <w:bCs/>
          <w:noProof/>
        </w:rPr>
      </w:pPr>
    </w:p>
    <w:p w:rsidR="0053671B" w:rsidRDefault="0053671B" w:rsidP="007C12F4">
      <w:pPr>
        <w:tabs>
          <w:tab w:val="left" w:pos="5685"/>
        </w:tabs>
        <w:ind w:left="6372"/>
        <w:rPr>
          <w:b/>
          <w:bCs/>
          <w:noProof/>
        </w:rPr>
      </w:pPr>
    </w:p>
    <w:p w:rsidR="0053671B" w:rsidRPr="00A05119" w:rsidRDefault="0053671B" w:rsidP="007C12F4">
      <w:pPr>
        <w:tabs>
          <w:tab w:val="left" w:pos="5685"/>
        </w:tabs>
        <w:ind w:left="6372"/>
        <w:rPr>
          <w:b/>
          <w:bCs/>
          <w:noProof/>
        </w:rPr>
      </w:pPr>
    </w:p>
    <w:p w:rsidR="005F181F" w:rsidRDefault="0000218E" w:rsidP="00F66EED">
      <w:pPr>
        <w:tabs>
          <w:tab w:val="left" w:pos="5685"/>
        </w:tabs>
        <w:ind w:left="6372" w:hanging="276"/>
      </w:pPr>
      <w:r w:rsidRPr="00A05119">
        <w:rPr>
          <w:color w:val="000000"/>
        </w:rPr>
        <w:t>MVDr. Stanislav Grobár</w:t>
      </w:r>
      <w:r w:rsidRPr="00A05119">
        <w:t xml:space="preserve"> </w:t>
      </w:r>
      <w:r w:rsidR="007C12F4" w:rsidRPr="00A05119">
        <w:t>generálny riaditeľ</w:t>
      </w:r>
    </w:p>
    <w:p w:rsidR="00CD4FF7" w:rsidRDefault="00CD4FF7" w:rsidP="00F66EED">
      <w:pPr>
        <w:tabs>
          <w:tab w:val="left" w:pos="5685"/>
        </w:tabs>
        <w:ind w:left="6372" w:hanging="276"/>
      </w:pPr>
    </w:p>
    <w:p w:rsidR="00CD4FF7" w:rsidRDefault="00CD4FF7" w:rsidP="00F66EED">
      <w:pPr>
        <w:tabs>
          <w:tab w:val="left" w:pos="5685"/>
        </w:tabs>
        <w:ind w:left="6372" w:hanging="276"/>
      </w:pPr>
    </w:p>
    <w:p w:rsidR="00CD4FF7" w:rsidRDefault="00CD4FF7" w:rsidP="00F66EED">
      <w:pPr>
        <w:tabs>
          <w:tab w:val="left" w:pos="5685"/>
        </w:tabs>
        <w:ind w:left="6372" w:hanging="276"/>
      </w:pPr>
    </w:p>
    <w:sectPr w:rsidR="00CD4FF7" w:rsidSect="00D86CDA">
      <w:footerReference w:type="default" r:id="rId14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18" w:rsidRDefault="00511518">
      <w:r>
        <w:separator/>
      </w:r>
    </w:p>
  </w:endnote>
  <w:endnote w:type="continuationSeparator" w:id="0">
    <w:p w:rsidR="00511518" w:rsidRDefault="0051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C9" w:rsidRDefault="004B20C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272F8">
      <w:rPr>
        <w:noProof/>
      </w:rPr>
      <w:t>1</w:t>
    </w:r>
    <w:r>
      <w:fldChar w:fldCharType="end"/>
    </w:r>
  </w:p>
  <w:p w:rsidR="004B20C9" w:rsidRDefault="004B20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18" w:rsidRDefault="00511518">
      <w:r>
        <w:separator/>
      </w:r>
    </w:p>
  </w:footnote>
  <w:footnote w:type="continuationSeparator" w:id="0">
    <w:p w:rsidR="00511518" w:rsidRDefault="0051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046"/>
    <w:multiLevelType w:val="hybridMultilevel"/>
    <w:tmpl w:val="1D26A40E"/>
    <w:lvl w:ilvl="0" w:tplc="698EFCDE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EF74D8B6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  <w:b w:val="0"/>
      </w:rPr>
    </w:lvl>
    <w:lvl w:ilvl="2" w:tplc="041B0017">
      <w:start w:val="1"/>
      <w:numFmt w:val="lowerLetter"/>
      <w:lvlText w:val="%3)"/>
      <w:lvlJc w:val="left"/>
      <w:pPr>
        <w:tabs>
          <w:tab w:val="num" w:pos="2397"/>
        </w:tabs>
        <w:ind w:left="2397" w:hanging="360"/>
      </w:pPr>
      <w:rPr>
        <w:rFonts w:cs="Times New Roman" w:hint="default"/>
      </w:rPr>
    </w:lvl>
    <w:lvl w:ilvl="3" w:tplc="AA0892B2">
      <w:numFmt w:val="decimal"/>
      <w:lvlText w:val="%4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 w15:restartNumberingAfterBreak="0">
    <w:nsid w:val="04E27CE1"/>
    <w:multiLevelType w:val="hybridMultilevel"/>
    <w:tmpl w:val="9772735A"/>
    <w:lvl w:ilvl="0" w:tplc="0EFAD9C8">
      <w:start w:val="1"/>
      <w:numFmt w:val="upperLetter"/>
      <w:lvlText w:val="%1"/>
      <w:lvlJc w:val="left"/>
      <w:pPr>
        <w:ind w:left="644" w:hanging="360"/>
      </w:pPr>
      <w:rPr>
        <w:rFonts w:ascii="Times New Roman" w:hAnsi="Times New Roman" w:cs="Times New Roman" w:hint="default"/>
        <w:cap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B36FF"/>
    <w:multiLevelType w:val="hybridMultilevel"/>
    <w:tmpl w:val="515A59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47CB3"/>
    <w:multiLevelType w:val="hybridMultilevel"/>
    <w:tmpl w:val="6CEE6434"/>
    <w:lvl w:ilvl="0" w:tplc="CD12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2187"/>
    <w:multiLevelType w:val="hybridMultilevel"/>
    <w:tmpl w:val="1554B0CC"/>
    <w:lvl w:ilvl="0" w:tplc="0E16D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C591B"/>
    <w:multiLevelType w:val="hybridMultilevel"/>
    <w:tmpl w:val="52ECB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645CC"/>
    <w:multiLevelType w:val="hybridMultilevel"/>
    <w:tmpl w:val="AC0A8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34A77"/>
    <w:multiLevelType w:val="hybridMultilevel"/>
    <w:tmpl w:val="11C63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D1CAE"/>
    <w:multiLevelType w:val="hybridMultilevel"/>
    <w:tmpl w:val="6F44EF88"/>
    <w:lvl w:ilvl="0" w:tplc="D98C7E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2643833"/>
    <w:multiLevelType w:val="hybridMultilevel"/>
    <w:tmpl w:val="B770C8DC"/>
    <w:lvl w:ilvl="0" w:tplc="9B6032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79CD"/>
    <w:multiLevelType w:val="hybridMultilevel"/>
    <w:tmpl w:val="1C203D00"/>
    <w:lvl w:ilvl="0" w:tplc="698EFCDE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EF74D8B6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  <w:b w:val="0"/>
      </w:rPr>
    </w:lvl>
    <w:lvl w:ilvl="2" w:tplc="78000640">
      <w:start w:val="1"/>
      <w:numFmt w:val="lowerLetter"/>
      <w:lvlText w:val="%3)"/>
      <w:lvlJc w:val="left"/>
      <w:pPr>
        <w:tabs>
          <w:tab w:val="num" w:pos="2397"/>
        </w:tabs>
        <w:ind w:left="2397" w:hanging="360"/>
      </w:pPr>
      <w:rPr>
        <w:rFonts w:cs="Times New Roman" w:hint="default"/>
        <w:b w:val="0"/>
      </w:rPr>
    </w:lvl>
    <w:lvl w:ilvl="3" w:tplc="AA0892B2">
      <w:numFmt w:val="decimal"/>
      <w:lvlText w:val="%4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3" w15:restartNumberingAfterBreak="0">
    <w:nsid w:val="166C65C5"/>
    <w:multiLevelType w:val="hybridMultilevel"/>
    <w:tmpl w:val="59DE05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1EE5D2D"/>
    <w:multiLevelType w:val="hybridMultilevel"/>
    <w:tmpl w:val="2630695E"/>
    <w:lvl w:ilvl="0" w:tplc="0D0AA9FE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3872141"/>
    <w:multiLevelType w:val="hybridMultilevel"/>
    <w:tmpl w:val="0682141E"/>
    <w:lvl w:ilvl="0" w:tplc="79AAD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9C3"/>
    <w:multiLevelType w:val="hybridMultilevel"/>
    <w:tmpl w:val="4E6C1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4563C9"/>
    <w:multiLevelType w:val="hybridMultilevel"/>
    <w:tmpl w:val="AB288F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B3AE5"/>
    <w:multiLevelType w:val="hybridMultilevel"/>
    <w:tmpl w:val="668C7896"/>
    <w:lvl w:ilvl="0" w:tplc="2D78AC5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65732"/>
    <w:multiLevelType w:val="hybridMultilevel"/>
    <w:tmpl w:val="C3EA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D6830"/>
    <w:multiLevelType w:val="hybridMultilevel"/>
    <w:tmpl w:val="B2AE6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695D"/>
    <w:multiLevelType w:val="hybridMultilevel"/>
    <w:tmpl w:val="B00E97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F32CE"/>
    <w:multiLevelType w:val="hybridMultilevel"/>
    <w:tmpl w:val="8A602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14480"/>
    <w:multiLevelType w:val="hybridMultilevel"/>
    <w:tmpl w:val="8E0A8482"/>
    <w:lvl w:ilvl="0" w:tplc="DA4A045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43EE4E11"/>
    <w:multiLevelType w:val="hybridMultilevel"/>
    <w:tmpl w:val="7848F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16FFE"/>
    <w:multiLevelType w:val="hybridMultilevel"/>
    <w:tmpl w:val="AA007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1A15C0"/>
    <w:multiLevelType w:val="hybridMultilevel"/>
    <w:tmpl w:val="19D8F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E34C0"/>
    <w:multiLevelType w:val="hybridMultilevel"/>
    <w:tmpl w:val="DEE4547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62457"/>
    <w:multiLevelType w:val="hybridMultilevel"/>
    <w:tmpl w:val="C75E0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518E3"/>
    <w:multiLevelType w:val="hybridMultilevel"/>
    <w:tmpl w:val="C5447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E28E0"/>
    <w:multiLevelType w:val="hybridMultilevel"/>
    <w:tmpl w:val="9648B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11288"/>
    <w:multiLevelType w:val="hybridMultilevel"/>
    <w:tmpl w:val="5E845FE0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62DD7325"/>
    <w:multiLevelType w:val="hybridMultilevel"/>
    <w:tmpl w:val="3114471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9E5930"/>
    <w:multiLevelType w:val="hybridMultilevel"/>
    <w:tmpl w:val="8EA6DEFC"/>
    <w:lvl w:ilvl="0" w:tplc="ECCE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220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572133"/>
    <w:multiLevelType w:val="hybridMultilevel"/>
    <w:tmpl w:val="389C15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AE64AE"/>
    <w:multiLevelType w:val="hybridMultilevel"/>
    <w:tmpl w:val="BABAE1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C1E6B"/>
    <w:multiLevelType w:val="hybridMultilevel"/>
    <w:tmpl w:val="246E16E8"/>
    <w:lvl w:ilvl="0" w:tplc="723A9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40E3C"/>
    <w:multiLevelType w:val="hybridMultilevel"/>
    <w:tmpl w:val="98AA43E8"/>
    <w:lvl w:ilvl="0" w:tplc="CD12A4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80AAA"/>
    <w:multiLevelType w:val="hybridMultilevel"/>
    <w:tmpl w:val="21644BF4"/>
    <w:lvl w:ilvl="0" w:tplc="E9DAF60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C71523"/>
    <w:multiLevelType w:val="hybridMultilevel"/>
    <w:tmpl w:val="D14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0974C9"/>
    <w:multiLevelType w:val="hybridMultilevel"/>
    <w:tmpl w:val="D1B6B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12692B"/>
    <w:multiLevelType w:val="hybridMultilevel"/>
    <w:tmpl w:val="DAFE044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2545D"/>
    <w:multiLevelType w:val="hybridMultilevel"/>
    <w:tmpl w:val="93A21D9E"/>
    <w:lvl w:ilvl="0" w:tplc="041B0017">
      <w:start w:val="1"/>
      <w:numFmt w:val="lowerLetter"/>
      <w:lvlText w:val="%1)"/>
      <w:lvlJc w:val="left"/>
      <w:pPr>
        <w:ind w:left="11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44" w15:restartNumberingAfterBreak="0">
    <w:nsid w:val="7CD82F59"/>
    <w:multiLevelType w:val="hybridMultilevel"/>
    <w:tmpl w:val="626AEAD2"/>
    <w:lvl w:ilvl="0" w:tplc="5E0EA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F397284"/>
    <w:multiLevelType w:val="multilevel"/>
    <w:tmpl w:val="7CD218C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3"/>
  </w:num>
  <w:num w:numId="2">
    <w:abstractNumId w:val="25"/>
  </w:num>
  <w:num w:numId="3">
    <w:abstractNumId w:val="36"/>
  </w:num>
  <w:num w:numId="4">
    <w:abstractNumId w:val="20"/>
  </w:num>
  <w:num w:numId="5">
    <w:abstractNumId w:val="45"/>
  </w:num>
  <w:num w:numId="6">
    <w:abstractNumId w:val="26"/>
  </w:num>
  <w:num w:numId="7">
    <w:abstractNumId w:val="3"/>
  </w:num>
  <w:num w:numId="8">
    <w:abstractNumId w:val="30"/>
  </w:num>
  <w:num w:numId="9">
    <w:abstractNumId w:val="6"/>
  </w:num>
  <w:num w:numId="10">
    <w:abstractNumId w:val="37"/>
  </w:num>
  <w:num w:numId="11">
    <w:abstractNumId w:val="2"/>
  </w:num>
  <w:num w:numId="12">
    <w:abstractNumId w:val="10"/>
  </w:num>
  <w:num w:numId="13">
    <w:abstractNumId w:val="11"/>
  </w:num>
  <w:num w:numId="14">
    <w:abstractNumId w:val="24"/>
  </w:num>
  <w:num w:numId="15">
    <w:abstractNumId w:val="36"/>
  </w:num>
  <w:num w:numId="16">
    <w:abstractNumId w:val="31"/>
  </w:num>
  <w:num w:numId="17">
    <w:abstractNumId w:val="14"/>
  </w:num>
  <w:num w:numId="18">
    <w:abstractNumId w:val="4"/>
  </w:num>
  <w:num w:numId="19">
    <w:abstractNumId w:val="41"/>
  </w:num>
  <w:num w:numId="20">
    <w:abstractNumId w:val="44"/>
  </w:num>
  <w:num w:numId="21">
    <w:abstractNumId w:val="17"/>
  </w:num>
  <w:num w:numId="22">
    <w:abstractNumId w:val="13"/>
  </w:num>
  <w:num w:numId="23">
    <w:abstractNumId w:val="0"/>
  </w:num>
  <w:num w:numId="24">
    <w:abstractNumId w:val="12"/>
  </w:num>
  <w:num w:numId="25">
    <w:abstractNumId w:val="22"/>
  </w:num>
  <w:num w:numId="26">
    <w:abstractNumId w:val="39"/>
  </w:num>
  <w:num w:numId="27">
    <w:abstractNumId w:val="43"/>
  </w:num>
  <w:num w:numId="28">
    <w:abstractNumId w:val="5"/>
  </w:num>
  <w:num w:numId="29">
    <w:abstractNumId w:val="33"/>
  </w:num>
  <w:num w:numId="30">
    <w:abstractNumId w:val="21"/>
  </w:num>
  <w:num w:numId="31">
    <w:abstractNumId w:val="1"/>
  </w:num>
  <w:num w:numId="32">
    <w:abstractNumId w:val="8"/>
  </w:num>
  <w:num w:numId="33">
    <w:abstractNumId w:val="27"/>
  </w:num>
  <w:num w:numId="34">
    <w:abstractNumId w:val="32"/>
  </w:num>
  <w:num w:numId="35">
    <w:abstractNumId w:val="29"/>
  </w:num>
  <w:num w:numId="36">
    <w:abstractNumId w:val="7"/>
  </w:num>
  <w:num w:numId="37">
    <w:abstractNumId w:val="34"/>
  </w:num>
  <w:num w:numId="38">
    <w:abstractNumId w:val="35"/>
  </w:num>
  <w:num w:numId="39">
    <w:abstractNumId w:val="16"/>
  </w:num>
  <w:num w:numId="40">
    <w:abstractNumId w:val="18"/>
  </w:num>
  <w:num w:numId="41">
    <w:abstractNumId w:val="19"/>
  </w:num>
  <w:num w:numId="42">
    <w:abstractNumId w:val="15"/>
  </w:num>
  <w:num w:numId="43">
    <w:abstractNumId w:val="42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8"/>
  </w:num>
  <w:num w:numId="47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DA"/>
    <w:rsid w:val="0000218E"/>
    <w:rsid w:val="00007D2E"/>
    <w:rsid w:val="000264C7"/>
    <w:rsid w:val="000265AD"/>
    <w:rsid w:val="000265F7"/>
    <w:rsid w:val="00030046"/>
    <w:rsid w:val="00055E3F"/>
    <w:rsid w:val="00064F1A"/>
    <w:rsid w:val="00071B5B"/>
    <w:rsid w:val="00072C56"/>
    <w:rsid w:val="000749FB"/>
    <w:rsid w:val="0008092C"/>
    <w:rsid w:val="000811FF"/>
    <w:rsid w:val="00091963"/>
    <w:rsid w:val="000A02C9"/>
    <w:rsid w:val="000B11D3"/>
    <w:rsid w:val="000B4798"/>
    <w:rsid w:val="000B657F"/>
    <w:rsid w:val="000D2E70"/>
    <w:rsid w:val="000E0107"/>
    <w:rsid w:val="000E31C3"/>
    <w:rsid w:val="000E6C81"/>
    <w:rsid w:val="000F48C4"/>
    <w:rsid w:val="000F49B2"/>
    <w:rsid w:val="00100FE4"/>
    <w:rsid w:val="001023F8"/>
    <w:rsid w:val="00107A18"/>
    <w:rsid w:val="00111A2C"/>
    <w:rsid w:val="001272F8"/>
    <w:rsid w:val="00127E9E"/>
    <w:rsid w:val="00131CCA"/>
    <w:rsid w:val="00132173"/>
    <w:rsid w:val="001444B5"/>
    <w:rsid w:val="00145CE3"/>
    <w:rsid w:val="001460CD"/>
    <w:rsid w:val="00155F7C"/>
    <w:rsid w:val="00171A55"/>
    <w:rsid w:val="00184EE9"/>
    <w:rsid w:val="00185BA9"/>
    <w:rsid w:val="00185E89"/>
    <w:rsid w:val="001929B7"/>
    <w:rsid w:val="001A4B20"/>
    <w:rsid w:val="001B6378"/>
    <w:rsid w:val="001D6856"/>
    <w:rsid w:val="00201B6E"/>
    <w:rsid w:val="0020287E"/>
    <w:rsid w:val="00215FEE"/>
    <w:rsid w:val="00225AFF"/>
    <w:rsid w:val="002402B2"/>
    <w:rsid w:val="00241FDD"/>
    <w:rsid w:val="0025446E"/>
    <w:rsid w:val="00256DBB"/>
    <w:rsid w:val="00257FE5"/>
    <w:rsid w:val="002636DC"/>
    <w:rsid w:val="00284ED4"/>
    <w:rsid w:val="00290917"/>
    <w:rsid w:val="002A22A0"/>
    <w:rsid w:val="002A448C"/>
    <w:rsid w:val="002C0D4D"/>
    <w:rsid w:val="002D4845"/>
    <w:rsid w:val="002E0AE5"/>
    <w:rsid w:val="002F2245"/>
    <w:rsid w:val="002F33FB"/>
    <w:rsid w:val="002F3AF0"/>
    <w:rsid w:val="003052C9"/>
    <w:rsid w:val="003164C7"/>
    <w:rsid w:val="00322A4A"/>
    <w:rsid w:val="00325E24"/>
    <w:rsid w:val="00340EAF"/>
    <w:rsid w:val="00341CA6"/>
    <w:rsid w:val="00342255"/>
    <w:rsid w:val="00347365"/>
    <w:rsid w:val="00347CFE"/>
    <w:rsid w:val="00356D18"/>
    <w:rsid w:val="0036076C"/>
    <w:rsid w:val="00366C23"/>
    <w:rsid w:val="00385344"/>
    <w:rsid w:val="00393CEF"/>
    <w:rsid w:val="00395412"/>
    <w:rsid w:val="003A0B44"/>
    <w:rsid w:val="003C1880"/>
    <w:rsid w:val="003E2E0D"/>
    <w:rsid w:val="003E72F9"/>
    <w:rsid w:val="003E7D98"/>
    <w:rsid w:val="003F1F24"/>
    <w:rsid w:val="003F5BC4"/>
    <w:rsid w:val="003F60A0"/>
    <w:rsid w:val="003F7112"/>
    <w:rsid w:val="004108D7"/>
    <w:rsid w:val="00416FE9"/>
    <w:rsid w:val="00420DF8"/>
    <w:rsid w:val="00444602"/>
    <w:rsid w:val="00464EB6"/>
    <w:rsid w:val="0048155C"/>
    <w:rsid w:val="00482588"/>
    <w:rsid w:val="0049436B"/>
    <w:rsid w:val="004B20C9"/>
    <w:rsid w:val="004B6BDE"/>
    <w:rsid w:val="004E3D40"/>
    <w:rsid w:val="005024AF"/>
    <w:rsid w:val="00510471"/>
    <w:rsid w:val="00511518"/>
    <w:rsid w:val="00516777"/>
    <w:rsid w:val="00521F14"/>
    <w:rsid w:val="00526169"/>
    <w:rsid w:val="0053671B"/>
    <w:rsid w:val="00545B8E"/>
    <w:rsid w:val="005538D1"/>
    <w:rsid w:val="00560B46"/>
    <w:rsid w:val="00561C9B"/>
    <w:rsid w:val="005622C0"/>
    <w:rsid w:val="00563637"/>
    <w:rsid w:val="00565C46"/>
    <w:rsid w:val="00577E82"/>
    <w:rsid w:val="00581D9D"/>
    <w:rsid w:val="00582051"/>
    <w:rsid w:val="005A2738"/>
    <w:rsid w:val="005A3087"/>
    <w:rsid w:val="005B0FD1"/>
    <w:rsid w:val="005B1CD3"/>
    <w:rsid w:val="005B26C3"/>
    <w:rsid w:val="005B2AE6"/>
    <w:rsid w:val="005C2AF3"/>
    <w:rsid w:val="005C744B"/>
    <w:rsid w:val="005D2437"/>
    <w:rsid w:val="005E07DD"/>
    <w:rsid w:val="005E583B"/>
    <w:rsid w:val="005F181F"/>
    <w:rsid w:val="005F32E7"/>
    <w:rsid w:val="006045ED"/>
    <w:rsid w:val="00613535"/>
    <w:rsid w:val="00617EC2"/>
    <w:rsid w:val="006345D1"/>
    <w:rsid w:val="00634AF7"/>
    <w:rsid w:val="00655063"/>
    <w:rsid w:val="00661409"/>
    <w:rsid w:val="00671336"/>
    <w:rsid w:val="006932F9"/>
    <w:rsid w:val="006D5C98"/>
    <w:rsid w:val="006E22C7"/>
    <w:rsid w:val="006E7CB1"/>
    <w:rsid w:val="006F4D83"/>
    <w:rsid w:val="006F54A8"/>
    <w:rsid w:val="006F623F"/>
    <w:rsid w:val="0070642D"/>
    <w:rsid w:val="007108A3"/>
    <w:rsid w:val="007124F3"/>
    <w:rsid w:val="007157F2"/>
    <w:rsid w:val="00716E52"/>
    <w:rsid w:val="00720CE4"/>
    <w:rsid w:val="007373ED"/>
    <w:rsid w:val="0074134E"/>
    <w:rsid w:val="00742958"/>
    <w:rsid w:val="00742D7E"/>
    <w:rsid w:val="00744930"/>
    <w:rsid w:val="00757339"/>
    <w:rsid w:val="007578BC"/>
    <w:rsid w:val="00760F18"/>
    <w:rsid w:val="00770910"/>
    <w:rsid w:val="0078738E"/>
    <w:rsid w:val="00790B51"/>
    <w:rsid w:val="00796670"/>
    <w:rsid w:val="007B071B"/>
    <w:rsid w:val="007B1626"/>
    <w:rsid w:val="007B4A3F"/>
    <w:rsid w:val="007C12F4"/>
    <w:rsid w:val="007C1E34"/>
    <w:rsid w:val="007D01EC"/>
    <w:rsid w:val="007D720E"/>
    <w:rsid w:val="00803048"/>
    <w:rsid w:val="00812A1F"/>
    <w:rsid w:val="008251CA"/>
    <w:rsid w:val="00846E75"/>
    <w:rsid w:val="00846F0B"/>
    <w:rsid w:val="00847397"/>
    <w:rsid w:val="0085458E"/>
    <w:rsid w:val="00866523"/>
    <w:rsid w:val="008769D3"/>
    <w:rsid w:val="00877492"/>
    <w:rsid w:val="008831B4"/>
    <w:rsid w:val="00894CBF"/>
    <w:rsid w:val="008A0B27"/>
    <w:rsid w:val="008A3989"/>
    <w:rsid w:val="008B0562"/>
    <w:rsid w:val="008D72F0"/>
    <w:rsid w:val="008F2890"/>
    <w:rsid w:val="008F3F01"/>
    <w:rsid w:val="009424D6"/>
    <w:rsid w:val="009454DC"/>
    <w:rsid w:val="00946B52"/>
    <w:rsid w:val="0097206A"/>
    <w:rsid w:val="009742CB"/>
    <w:rsid w:val="00980184"/>
    <w:rsid w:val="009A6EEF"/>
    <w:rsid w:val="009A7F54"/>
    <w:rsid w:val="009B47F4"/>
    <w:rsid w:val="009C1F5B"/>
    <w:rsid w:val="009E2543"/>
    <w:rsid w:val="009F0BD8"/>
    <w:rsid w:val="009F20B7"/>
    <w:rsid w:val="009F6F39"/>
    <w:rsid w:val="00A04EE3"/>
    <w:rsid w:val="00A05119"/>
    <w:rsid w:val="00A0538F"/>
    <w:rsid w:val="00A30ABB"/>
    <w:rsid w:val="00A31713"/>
    <w:rsid w:val="00A31E99"/>
    <w:rsid w:val="00A35B47"/>
    <w:rsid w:val="00A3758C"/>
    <w:rsid w:val="00A46CB5"/>
    <w:rsid w:val="00A55204"/>
    <w:rsid w:val="00A557A7"/>
    <w:rsid w:val="00A5607E"/>
    <w:rsid w:val="00A6176F"/>
    <w:rsid w:val="00A7002D"/>
    <w:rsid w:val="00A70FED"/>
    <w:rsid w:val="00A73D6A"/>
    <w:rsid w:val="00A754E6"/>
    <w:rsid w:val="00A85F85"/>
    <w:rsid w:val="00AA5EF9"/>
    <w:rsid w:val="00AB2C3A"/>
    <w:rsid w:val="00AB2C95"/>
    <w:rsid w:val="00AB6588"/>
    <w:rsid w:val="00AF1898"/>
    <w:rsid w:val="00AF1A6A"/>
    <w:rsid w:val="00AF1AA5"/>
    <w:rsid w:val="00B10E09"/>
    <w:rsid w:val="00B16B15"/>
    <w:rsid w:val="00B2127F"/>
    <w:rsid w:val="00B22960"/>
    <w:rsid w:val="00B2391A"/>
    <w:rsid w:val="00B3392D"/>
    <w:rsid w:val="00B359AB"/>
    <w:rsid w:val="00B44EE4"/>
    <w:rsid w:val="00B5088F"/>
    <w:rsid w:val="00B655F1"/>
    <w:rsid w:val="00B74F1A"/>
    <w:rsid w:val="00B94621"/>
    <w:rsid w:val="00BA1FA6"/>
    <w:rsid w:val="00BA5DC9"/>
    <w:rsid w:val="00BC1D05"/>
    <w:rsid w:val="00BC4386"/>
    <w:rsid w:val="00BC6CC1"/>
    <w:rsid w:val="00BD0E9D"/>
    <w:rsid w:val="00BE5DAB"/>
    <w:rsid w:val="00BF7B89"/>
    <w:rsid w:val="00C01E5C"/>
    <w:rsid w:val="00C06CC3"/>
    <w:rsid w:val="00C126E8"/>
    <w:rsid w:val="00C135E8"/>
    <w:rsid w:val="00C21348"/>
    <w:rsid w:val="00C45FA0"/>
    <w:rsid w:val="00C504D8"/>
    <w:rsid w:val="00C649D6"/>
    <w:rsid w:val="00C7262F"/>
    <w:rsid w:val="00C822DC"/>
    <w:rsid w:val="00C8538C"/>
    <w:rsid w:val="00C90BDC"/>
    <w:rsid w:val="00C928F0"/>
    <w:rsid w:val="00C97167"/>
    <w:rsid w:val="00C9774F"/>
    <w:rsid w:val="00CA61DB"/>
    <w:rsid w:val="00CB36B7"/>
    <w:rsid w:val="00CB65FF"/>
    <w:rsid w:val="00CC1095"/>
    <w:rsid w:val="00CC6CD6"/>
    <w:rsid w:val="00CD0363"/>
    <w:rsid w:val="00CD138B"/>
    <w:rsid w:val="00CD4FF7"/>
    <w:rsid w:val="00CD6AB1"/>
    <w:rsid w:val="00D01E8F"/>
    <w:rsid w:val="00D03415"/>
    <w:rsid w:val="00D13340"/>
    <w:rsid w:val="00D23907"/>
    <w:rsid w:val="00D26E03"/>
    <w:rsid w:val="00D43DAE"/>
    <w:rsid w:val="00D52962"/>
    <w:rsid w:val="00D54780"/>
    <w:rsid w:val="00D6147E"/>
    <w:rsid w:val="00D6528A"/>
    <w:rsid w:val="00D72543"/>
    <w:rsid w:val="00D822E8"/>
    <w:rsid w:val="00D847AB"/>
    <w:rsid w:val="00D86CDA"/>
    <w:rsid w:val="00D87209"/>
    <w:rsid w:val="00D942EB"/>
    <w:rsid w:val="00D94F47"/>
    <w:rsid w:val="00DA7602"/>
    <w:rsid w:val="00DA7C7E"/>
    <w:rsid w:val="00DB14F1"/>
    <w:rsid w:val="00DB6783"/>
    <w:rsid w:val="00DD17C8"/>
    <w:rsid w:val="00DD2441"/>
    <w:rsid w:val="00DD3FD8"/>
    <w:rsid w:val="00DE1226"/>
    <w:rsid w:val="00DE3D54"/>
    <w:rsid w:val="00DF0310"/>
    <w:rsid w:val="00DF6015"/>
    <w:rsid w:val="00DF64E2"/>
    <w:rsid w:val="00DF7C5C"/>
    <w:rsid w:val="00E20EB9"/>
    <w:rsid w:val="00E27381"/>
    <w:rsid w:val="00E352B1"/>
    <w:rsid w:val="00E615F4"/>
    <w:rsid w:val="00E638B7"/>
    <w:rsid w:val="00E66254"/>
    <w:rsid w:val="00E71D88"/>
    <w:rsid w:val="00E76E35"/>
    <w:rsid w:val="00E77CFC"/>
    <w:rsid w:val="00E807F1"/>
    <w:rsid w:val="00E86357"/>
    <w:rsid w:val="00E91A92"/>
    <w:rsid w:val="00EA11E1"/>
    <w:rsid w:val="00EA1C74"/>
    <w:rsid w:val="00EA4B91"/>
    <w:rsid w:val="00EC5F67"/>
    <w:rsid w:val="00ED7A81"/>
    <w:rsid w:val="00EE2DFB"/>
    <w:rsid w:val="00EE6FA2"/>
    <w:rsid w:val="00EF74EA"/>
    <w:rsid w:val="00F02E52"/>
    <w:rsid w:val="00F0435B"/>
    <w:rsid w:val="00F10DC2"/>
    <w:rsid w:val="00F14483"/>
    <w:rsid w:val="00F144EC"/>
    <w:rsid w:val="00F14E8F"/>
    <w:rsid w:val="00F53F87"/>
    <w:rsid w:val="00F55610"/>
    <w:rsid w:val="00F62D11"/>
    <w:rsid w:val="00F66EED"/>
    <w:rsid w:val="00F8402B"/>
    <w:rsid w:val="00F85CAA"/>
    <w:rsid w:val="00F90888"/>
    <w:rsid w:val="00FB15EB"/>
    <w:rsid w:val="00FB429B"/>
    <w:rsid w:val="00FC626B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267D530-7691-4D1F-B01D-03A4AE22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CDA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6D5C98"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6D5C98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6D5C98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qFormat/>
    <w:rsid w:val="006D5C98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6D5C98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6D5C98"/>
    <w:pPr>
      <w:numPr>
        <w:ilvl w:val="6"/>
        <w:numId w:val="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6D5C98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6D5C98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D5C98"/>
    <w:rPr>
      <w:rFonts w:cs="Times New Roman"/>
      <w:b/>
      <w:sz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D5C98"/>
    <w:rPr>
      <w:rFonts w:cs="Times New Roman"/>
      <w:b/>
      <w:sz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D5C98"/>
    <w:rPr>
      <w:rFonts w:ascii="Calibri" w:hAnsi="Calibri" w:cs="Times New Roman"/>
      <w:b/>
      <w:sz w:val="28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D5C98"/>
    <w:rPr>
      <w:rFonts w:ascii="Calibri" w:hAnsi="Calibri" w:cs="Times New Roman"/>
      <w:b/>
      <w:i/>
      <w:sz w:val="26"/>
      <w:lang w:val="x-none"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D5C98"/>
    <w:rPr>
      <w:rFonts w:ascii="Calibri" w:hAnsi="Calibri" w:cs="Times New Roman"/>
      <w:b/>
      <w:sz w:val="22"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6D5C98"/>
    <w:rPr>
      <w:rFonts w:ascii="Calibri" w:hAnsi="Calibri" w:cs="Times New Roman"/>
      <w:sz w:val="24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6D5C98"/>
    <w:rPr>
      <w:rFonts w:ascii="Calibri" w:hAnsi="Calibri" w:cs="Times New Roman"/>
      <w:i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6D5C98"/>
    <w:rPr>
      <w:rFonts w:ascii="Cambria" w:hAnsi="Cambria" w:cs="Times New Roman"/>
      <w:sz w:val="22"/>
      <w:lang w:val="x-none" w:eastAsia="en-US"/>
    </w:rPr>
  </w:style>
  <w:style w:type="paragraph" w:styleId="Normlnywebov">
    <w:name w:val="Normal (Web)"/>
    <w:basedOn w:val="Normlny"/>
    <w:uiPriority w:val="99"/>
    <w:rsid w:val="00D86CDA"/>
    <w:pPr>
      <w:spacing w:before="100" w:beforeAutospacing="1" w:after="100" w:afterAutospacing="1"/>
      <w:ind w:firstLine="257"/>
      <w:jc w:val="both"/>
    </w:pPr>
    <w:rPr>
      <w:rFonts w:ascii="Arial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86CDA"/>
    <w:pPr>
      <w:jc w:val="both"/>
    </w:pPr>
    <w:rPr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D86CDA"/>
    <w:rPr>
      <w:rFonts w:ascii="Arial" w:hAnsi="Arial" w:cs="Times New Roman"/>
      <w:color w:val="008000"/>
      <w:sz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D86CDA"/>
    <w:pPr>
      <w:ind w:firstLine="2862"/>
    </w:pPr>
    <w:rPr>
      <w:b/>
      <w:bCs/>
      <w:noProof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86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D86CDA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har">
    <w:name w:val="Char"/>
    <w:basedOn w:val="Normlny"/>
    <w:rsid w:val="00D86C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257FE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90BDC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rsid w:val="00257F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57FE5"/>
    <w:rPr>
      <w:rFonts w:cs="Times New Roman"/>
      <w:sz w:val="24"/>
      <w:lang w:val="sk-SK" w:eastAsia="sk-SK"/>
    </w:rPr>
  </w:style>
  <w:style w:type="paragraph" w:customStyle="1" w:styleId="CharCharCharCharCharChar1">
    <w:name w:val="Char Char Char Char Char Char1"/>
    <w:basedOn w:val="Normlny"/>
    <w:rsid w:val="00420D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545B8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CB65F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CB65FF"/>
    <w:rPr>
      <w:rFonts w:eastAsia="Times New Roman" w:cs="Times New Roman"/>
      <w:sz w:val="24"/>
      <w:lang w:val="x-none" w:eastAsia="en-US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CB65FF"/>
    <w:rPr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CB65FF"/>
    <w:rPr>
      <w:rFonts w:eastAsia="Times New Roman" w:cs="Times New Roman"/>
      <w:lang w:val="x-none" w:eastAsia="en-US"/>
    </w:rPr>
  </w:style>
  <w:style w:type="character" w:styleId="Odkaznapoznmkupodiarou">
    <w:name w:val="footnote reference"/>
    <w:aliases w:val="PGI Fußnote Ziffer"/>
    <w:basedOn w:val="Predvolenpsmoodseku"/>
    <w:uiPriority w:val="99"/>
    <w:unhideWhenUsed/>
    <w:rsid w:val="00CB65FF"/>
    <w:rPr>
      <w:rFonts w:cs="Times New Roman"/>
      <w:vertAlign w:val="superscript"/>
    </w:rPr>
  </w:style>
  <w:style w:type="paragraph" w:customStyle="1" w:styleId="mojNORMALNY">
    <w:name w:val="moj NORMALNY"/>
    <w:uiPriority w:val="99"/>
    <w:rsid w:val="00CB65FF"/>
    <w:pPr>
      <w:jc w:val="both"/>
    </w:pPr>
    <w:rPr>
      <w:rFonts w:ascii="Arial" w:hAnsi="Arial"/>
    </w:rPr>
  </w:style>
  <w:style w:type="paragraph" w:styleId="Odsekzoznamu">
    <w:name w:val="List Paragraph"/>
    <w:basedOn w:val="Normlny"/>
    <w:link w:val="OdsekzoznamuChar"/>
    <w:uiPriority w:val="34"/>
    <w:qFormat/>
    <w:rsid w:val="00CB65FF"/>
    <w:pPr>
      <w:spacing w:after="200"/>
      <w:ind w:left="720"/>
      <w:contextualSpacing/>
    </w:pPr>
    <w:rPr>
      <w:szCs w:val="22"/>
      <w:lang w:eastAsia="en-US"/>
    </w:rPr>
  </w:style>
  <w:style w:type="paragraph" w:customStyle="1" w:styleId="Odsekzoznamu1">
    <w:name w:val="Odsek zoznamu1"/>
    <w:basedOn w:val="Normlny"/>
    <w:rsid w:val="00757339"/>
    <w:pPr>
      <w:spacing w:after="200"/>
      <w:ind w:left="720"/>
      <w:contextualSpacing/>
    </w:pPr>
    <w:rPr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C649D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49D6"/>
    <w:pPr>
      <w:spacing w:after="200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649D6"/>
    <w:rPr>
      <w:rFonts w:eastAsia="Times New Roman"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C649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649D6"/>
    <w:rPr>
      <w:rFonts w:ascii="Tahoma" w:hAnsi="Tahoma" w:cs="Times New Roman"/>
      <w:sz w:val="16"/>
    </w:rPr>
  </w:style>
  <w:style w:type="paragraph" w:customStyle="1" w:styleId="Zkladntextb">
    <w:name w:val="Základný text.b"/>
    <w:basedOn w:val="Normlny"/>
    <w:rsid w:val="00EA4B91"/>
    <w:pPr>
      <w:jc w:val="both"/>
    </w:pPr>
  </w:style>
  <w:style w:type="paragraph" w:customStyle="1" w:styleId="NumPar1">
    <w:name w:val="NumPar 1"/>
    <w:basedOn w:val="Normlny"/>
    <w:next w:val="Normlny"/>
    <w:rsid w:val="00C90BDC"/>
    <w:pPr>
      <w:numPr>
        <w:numId w:val="12"/>
      </w:numPr>
      <w:tabs>
        <w:tab w:val="left" w:pos="851"/>
      </w:tabs>
      <w:spacing w:before="120" w:after="120"/>
      <w:jc w:val="both"/>
    </w:pPr>
    <w:rPr>
      <w:lang w:val="en-GB"/>
    </w:rPr>
  </w:style>
  <w:style w:type="paragraph" w:styleId="Zoznamcitci">
    <w:name w:val="table of authorities"/>
    <w:basedOn w:val="Normlny"/>
    <w:uiPriority w:val="99"/>
    <w:rsid w:val="00C90BDC"/>
    <w:pPr>
      <w:widowControl w:val="0"/>
      <w:tabs>
        <w:tab w:val="right" w:leader="dot" w:pos="8640"/>
      </w:tabs>
      <w:spacing w:before="120" w:line="360" w:lineRule="auto"/>
      <w:ind w:left="360" w:hanging="360"/>
      <w:jc w:val="both"/>
    </w:pPr>
    <w:rPr>
      <w:lang w:eastAsia="en-US"/>
    </w:rPr>
  </w:style>
  <w:style w:type="character" w:styleId="Odkaznavysvetlivku">
    <w:name w:val="endnote reference"/>
    <w:basedOn w:val="Predvolenpsmoodseku"/>
    <w:uiPriority w:val="99"/>
    <w:rsid w:val="000749FB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rsid w:val="000749FB"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749FB"/>
    <w:rPr>
      <w:rFonts w:cs="Times New Roman"/>
      <w:lang w:val="x-none" w:eastAsia="cs-CZ"/>
    </w:rPr>
  </w:style>
  <w:style w:type="table" w:styleId="Mriekatabuky">
    <w:name w:val="Table Grid"/>
    <w:basedOn w:val="Normlnatabuka"/>
    <w:uiPriority w:val="59"/>
    <w:rsid w:val="00AB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8251CA"/>
    <w:rPr>
      <w:rFonts w:eastAsia="Times New Roman"/>
      <w:sz w:val="22"/>
      <w:lang w:val="x-none" w:eastAsia="en-US"/>
    </w:rPr>
  </w:style>
  <w:style w:type="character" w:styleId="Siln">
    <w:name w:val="Strong"/>
    <w:basedOn w:val="Predvolenpsmoodseku"/>
    <w:uiPriority w:val="22"/>
    <w:qFormat/>
    <w:rsid w:val="00582051"/>
    <w:rPr>
      <w:rFonts w:cs="Times New Roman"/>
      <w:b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90B51"/>
    <w:pPr>
      <w:spacing w:after="0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90B51"/>
    <w:rPr>
      <w:rFonts w:eastAsia="Times New Roman"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elmira.milkova@ap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ndt.posta.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ABC5-BE70-44CF-877E-46FDEB06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3725</Words>
  <Characters>21235</Characters>
  <Application>Microsoft Office Word</Application>
  <DocSecurity>0</DocSecurity>
  <Lines>176</Lines>
  <Paragraphs>49</Paragraphs>
  <ScaleCrop>false</ScaleCrop>
  <Company>.</Company>
  <LinksUpToDate>false</LinksUpToDate>
  <CharactersWithSpaces>24911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zacek</dc:creator>
  <cp:keywords/>
  <dc:description/>
  <cp:lastModifiedBy>Juraj GOGORA</cp:lastModifiedBy>
  <cp:revision>2</cp:revision>
  <cp:lastPrinted>2013-08-21T09:31:00Z</cp:lastPrinted>
  <dcterms:created xsi:type="dcterms:W3CDTF">2018-04-16T08:28:00Z</dcterms:created>
  <dcterms:modified xsi:type="dcterms:W3CDTF">2018-04-16T08:28:00Z</dcterms:modified>
</cp:coreProperties>
</file>