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31" w:rsidRDefault="00F20FD4" w:rsidP="008B182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20C29">
        <w:rPr>
          <w:b/>
          <w:sz w:val="28"/>
          <w:szCs w:val="28"/>
        </w:rPr>
        <w:t>Analýza dosiahnutia</w:t>
      </w:r>
      <w:r>
        <w:rPr>
          <w:b/>
          <w:sz w:val="28"/>
          <w:szCs w:val="28"/>
        </w:rPr>
        <w:t xml:space="preserve"> paušálnej </w:t>
      </w:r>
      <w:r w:rsidRPr="006D3CC0">
        <w:rPr>
          <w:b/>
          <w:sz w:val="28"/>
          <w:szCs w:val="28"/>
        </w:rPr>
        <w:t>sadzby 18%</w:t>
      </w:r>
      <w:r w:rsidRPr="00A20C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oprávnených priamych nákladov v rámci chodu</w:t>
      </w:r>
      <w:r w:rsidR="00A65F31" w:rsidRPr="00A65F31">
        <w:rPr>
          <w:b/>
          <w:sz w:val="28"/>
          <w:szCs w:val="28"/>
        </w:rPr>
        <w:t xml:space="preserve"> </w:t>
      </w:r>
      <w:r w:rsidR="00284175">
        <w:rPr>
          <w:b/>
          <w:sz w:val="28"/>
          <w:szCs w:val="28"/>
        </w:rPr>
        <w:t xml:space="preserve">regionálnych </w:t>
      </w:r>
      <w:r w:rsidR="007606AE">
        <w:rPr>
          <w:b/>
          <w:sz w:val="28"/>
          <w:szCs w:val="28"/>
        </w:rPr>
        <w:t>antén</w:t>
      </w:r>
      <w:r w:rsidR="00A65F31">
        <w:rPr>
          <w:b/>
          <w:sz w:val="28"/>
          <w:szCs w:val="28"/>
        </w:rPr>
        <w:t xml:space="preserve"> NSRV SR </w:t>
      </w:r>
      <w:r w:rsidR="004932F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 programovom </w:t>
      </w:r>
      <w:r w:rsidR="004932F5">
        <w:rPr>
          <w:b/>
          <w:sz w:val="28"/>
          <w:szCs w:val="28"/>
        </w:rPr>
        <w:t>období 2014 - 2020</w:t>
      </w:r>
    </w:p>
    <w:p w:rsidR="00B42805" w:rsidRDefault="00B42805" w:rsidP="004C4E73">
      <w:pPr>
        <w:pStyle w:val="Default"/>
        <w:ind w:firstLine="708"/>
        <w:jc w:val="both"/>
      </w:pPr>
    </w:p>
    <w:p w:rsidR="00A65F31" w:rsidRDefault="00A65F31" w:rsidP="008B1826">
      <w:pPr>
        <w:pStyle w:val="Default"/>
        <w:spacing w:line="276" w:lineRule="auto"/>
        <w:ind w:firstLine="708"/>
        <w:jc w:val="both"/>
      </w:pPr>
    </w:p>
    <w:p w:rsidR="009D1095" w:rsidRPr="00EB40D4" w:rsidRDefault="009D1095" w:rsidP="008B1826">
      <w:pPr>
        <w:pStyle w:val="Default"/>
        <w:spacing w:line="276" w:lineRule="auto"/>
        <w:ind w:firstLine="708"/>
        <w:rPr>
          <w:color w:val="auto"/>
        </w:rPr>
      </w:pPr>
      <w:r w:rsidRPr="00EB40D4">
        <w:rPr>
          <w:color w:val="auto"/>
        </w:rPr>
        <w:t>Súčasťou PRV SR 2014-2020 je zriadenie a prevádzka národnej siete rozvoja vidieka (NSRV) financovanej z technickej pomoci programu. V období 2007-2013 túto funkciu vykonávala Agentúra pre rozvoj vidieka ako Centrálna jednotka NSRV so sídlom v Nitre (hostiteľský orgán, ďalej aj ako „CJ“). Regionálne antény NSRV (ďalej „RA NSRV“) pôsobili v 7 regiónoch SR – v nitrianskom, trenčianskom, banskobystrickom, žilinskom, prešovskom, košickom a pre trnavský a bratislavský región bola zriadená spoločná anténa. Regionálne antény začali svoju činnosť 1. 4. 2009.</w:t>
      </w:r>
    </w:p>
    <w:p w:rsidR="009D1095" w:rsidRPr="00EB40D4" w:rsidRDefault="009D1095" w:rsidP="008B1826">
      <w:pPr>
        <w:pStyle w:val="Default"/>
        <w:spacing w:line="276" w:lineRule="auto"/>
        <w:ind w:firstLine="708"/>
        <w:rPr>
          <w:color w:val="auto"/>
        </w:rPr>
      </w:pPr>
      <w:r w:rsidRPr="00EB40D4">
        <w:rPr>
          <w:color w:val="auto"/>
        </w:rPr>
        <w:t>V súlade s čl. 12 vykonávacieho nariadenia Komisie (EÚ) č. 808/2014 zabezpečí Slovenská republika zriadenie a prevádzku národnej vidieckej siete  v rámci technickej pomoci PRV do 12 mesiacov od schválenia PRV SR 2014-2020. Riadiaci orgán pre PRV SR 2014-2020 určil ako centrálnu jednotku NSRV Agentúru pre rozvoj vidieka sídliacu v Nitre, ktorá je príspevkovou organizáciou MPRV SR. Okrem centrálnej jednotky bude úlohy NSRV vykonávať 8 decentralizovaných jednotiek siete NSRV/regionálne antény. Tieto budú vybrané na základe predložených projektových zámerov v súlade s definovanými kritériami a princípmi uvedenými vo výzve a Pôdohospodárskou platobnou agentúrou im bude pridelený štatút regionálnej antény. Vybraté subjekty budú musieť okrem iného zabezpečiť kontinuitu činností NSRV z obdobia 2007-2013. V podmienkach SR bude centrálna jednotka NSRV podliehať koordinácii riadiaceho orgánu, čím sa zabezpečí účinnejšia spolupráca riadiaceho orgánu s centrálnou jednotkou a následne jednotlivými regionálnymi anténami.</w:t>
      </w:r>
    </w:p>
    <w:p w:rsidR="00897029" w:rsidRPr="00EB40D4" w:rsidRDefault="009D1095" w:rsidP="008B1826">
      <w:pPr>
        <w:pStyle w:val="Default"/>
        <w:spacing w:line="276" w:lineRule="auto"/>
        <w:ind w:firstLine="708"/>
        <w:rPr>
          <w:color w:val="auto"/>
        </w:rPr>
      </w:pPr>
      <w:r w:rsidRPr="00EB40D4">
        <w:rPr>
          <w:color w:val="auto"/>
        </w:rPr>
        <w:t xml:space="preserve">NSRV v období 2014-2020 bude spájať organizácie a správne orgány, ktoré sa podieľajú na rozvoji vidieka za účelom správnej a plynulej implementácie Programu rozvoja vidieka SR 2014-2020 v zmysle čl. 55 nariadenia (EÚ) č. 1305/2013 o podpore rozvoja vidieka z EPFRV a čl. 5 Princíp partnerstva a viacúrovňová správa nariadenia (EÚ) č. 1303/2013. NSRV ako sieť zabezpečí prepojenie interakcií a väzieb medzi rozličnými aktérmi, ktorá bude využívať proces sieťovania na </w:t>
      </w:r>
      <w:proofErr w:type="spellStart"/>
      <w:r w:rsidRPr="00EB40D4">
        <w:rPr>
          <w:color w:val="auto"/>
        </w:rPr>
        <w:t>zdieľanie</w:t>
      </w:r>
      <w:proofErr w:type="spellEnd"/>
      <w:r w:rsidRPr="00EB40D4">
        <w:rPr>
          <w:color w:val="auto"/>
        </w:rPr>
        <w:t xml:space="preserve"> a výmenu informácií, praxe, skúseností, nápadov a zdrojov. </w:t>
      </w:r>
      <w:r w:rsidRPr="00EB40D4">
        <w:rPr>
          <w:bCs/>
          <w:color w:val="auto"/>
        </w:rPr>
        <w:t>Podporné jednotky siete - Regionálne antény</w:t>
      </w:r>
      <w:r w:rsidRPr="00EB40D4">
        <w:rPr>
          <w:b/>
          <w:bCs/>
          <w:color w:val="auto"/>
        </w:rPr>
        <w:t xml:space="preserve"> </w:t>
      </w:r>
      <w:r w:rsidRPr="00EB40D4">
        <w:rPr>
          <w:color w:val="auto"/>
        </w:rPr>
        <w:t>uľahčia proces sieťovania a zapájania cieľových skupín. Členstvo v NSRV je otvorené pre všetky cieľové skupiny žiadateľov a zainteresované tretie strany vo vzťahu ku všetkým opatreniam v rámci PRV SR 2014-2020 a v nadväznosti na čl. 54 nariadenia (EÚ) č. 1305/2013 je súčasťou siete aj partnerstvo v zmysle čl. 5 nariadenia (EÚ) č. 1303/2013. NSRV spolupracuje s inými formálnymi a neformálnymi sieťami, ktoré prispievajú ku kvalitnej implementácii ostatných Európskych štrukturálnych a investičných fondov (EŠIF). Rovnako sa podieľa na činnostiach a výzvach Európskej siete pre rozvoj vidieka.</w:t>
      </w:r>
    </w:p>
    <w:p w:rsidR="009D1095" w:rsidRPr="00EB40D4" w:rsidRDefault="009D1095" w:rsidP="008B1826">
      <w:pPr>
        <w:pStyle w:val="Default"/>
        <w:spacing w:line="276" w:lineRule="auto"/>
        <w:ind w:firstLine="708"/>
        <w:rPr>
          <w:color w:val="auto"/>
        </w:rPr>
      </w:pPr>
      <w:r w:rsidRPr="00EB40D4">
        <w:rPr>
          <w:color w:val="auto"/>
        </w:rPr>
        <w:t xml:space="preserve">Väčšina tímu </w:t>
      </w:r>
      <w:r w:rsidRPr="00EB40D4">
        <w:rPr>
          <w:b/>
          <w:bCs/>
          <w:color w:val="auto"/>
        </w:rPr>
        <w:t xml:space="preserve">NSRV </w:t>
      </w:r>
      <w:r w:rsidRPr="00EB40D4">
        <w:rPr>
          <w:color w:val="auto"/>
        </w:rPr>
        <w:t xml:space="preserve">bude decentralizovaná a bude pôsobiť ako regionálna anténa v jednotlivých 8 regiónoch Slovenska. Tieto antény budú lokalizované v rámci regiónov, pričom bude reflektovaná požiadavka, aby sa využívali štruktúry a kapacity počas celého programového obdobia 2014-2020. Uvedeným spôsobom sa vytvorí kľúčový tím pre všetky priority politiky rozvoja vidieka (v zmysle nariadenia o rozvoji vidieka a schváleného </w:t>
      </w:r>
      <w:r w:rsidRPr="00EB40D4">
        <w:rPr>
          <w:color w:val="auto"/>
        </w:rPr>
        <w:lastRenderedPageBreak/>
        <w:t xml:space="preserve">Programu rozvoja vidieka SR vrátane monitoringu a hodnotenia a publicity programu) na národnej úrovni a silne decentralizovaný regionálny tím, ktorý spĺňa požiadavky v oblasti poľnohospodárstva a rozvoja vidieka a disponuje rozvinutými </w:t>
      </w:r>
      <w:proofErr w:type="spellStart"/>
      <w:r w:rsidRPr="00EB40D4">
        <w:rPr>
          <w:color w:val="auto"/>
        </w:rPr>
        <w:t>animačnými</w:t>
      </w:r>
      <w:proofErr w:type="spellEnd"/>
      <w:r w:rsidRPr="00EB40D4">
        <w:rPr>
          <w:color w:val="auto"/>
        </w:rPr>
        <w:t xml:space="preserve"> technikami a poradenstvom v oblasti politiky rozvoja vidieka. Zároveň musia zabezpečiť dobrú koordináciu v prípade ďalších </w:t>
      </w:r>
      <w:proofErr w:type="spellStart"/>
      <w:r w:rsidRPr="00EB40D4">
        <w:rPr>
          <w:color w:val="auto"/>
        </w:rPr>
        <w:t>zazmluvnených</w:t>
      </w:r>
      <w:proofErr w:type="spellEnd"/>
      <w:r w:rsidRPr="00EB40D4">
        <w:rPr>
          <w:color w:val="auto"/>
        </w:rPr>
        <w:t xml:space="preserve"> strán pre dosiahnutie stanovených výsledkov.</w:t>
      </w:r>
    </w:p>
    <w:p w:rsidR="00F441EC" w:rsidRDefault="00F441EC" w:rsidP="004C4E73">
      <w:pPr>
        <w:pStyle w:val="Default"/>
        <w:ind w:firstLine="708"/>
        <w:jc w:val="both"/>
        <w:rPr>
          <w:color w:val="FF0000"/>
        </w:rPr>
      </w:pPr>
    </w:p>
    <w:p w:rsidR="00863208" w:rsidRDefault="00863208" w:rsidP="004C4E73">
      <w:pPr>
        <w:pStyle w:val="Default"/>
        <w:ind w:firstLine="708"/>
        <w:jc w:val="center"/>
        <w:rPr>
          <w:b/>
        </w:rPr>
      </w:pPr>
    </w:p>
    <w:p w:rsidR="00897029" w:rsidRDefault="00897029" w:rsidP="004C4E73">
      <w:pPr>
        <w:pStyle w:val="Default"/>
        <w:ind w:firstLine="708"/>
        <w:jc w:val="center"/>
        <w:rPr>
          <w:b/>
        </w:rPr>
      </w:pPr>
      <w:r w:rsidRPr="00547586">
        <w:rPr>
          <w:b/>
        </w:rPr>
        <w:t>Súhrnný opis hlavných kategórií činnosti</w:t>
      </w:r>
      <w:r w:rsidR="00EC4CCB">
        <w:rPr>
          <w:b/>
        </w:rPr>
        <w:t xml:space="preserve"> siete NSRV SR</w:t>
      </w:r>
      <w:r w:rsidRPr="00547586">
        <w:rPr>
          <w:b/>
        </w:rPr>
        <w:t>:</w:t>
      </w:r>
    </w:p>
    <w:p w:rsidR="00547586" w:rsidRPr="00547586" w:rsidRDefault="00547586" w:rsidP="004C4E73">
      <w:pPr>
        <w:pStyle w:val="Default"/>
        <w:ind w:firstLine="708"/>
        <w:jc w:val="both"/>
        <w:rPr>
          <w:b/>
        </w:rPr>
      </w:pPr>
    </w:p>
    <w:p w:rsidR="00E951EB" w:rsidRDefault="00E951EB" w:rsidP="008B1826">
      <w:pPr>
        <w:pStyle w:val="Default"/>
        <w:spacing w:line="276" w:lineRule="auto"/>
        <w:ind w:left="705"/>
      </w:pPr>
    </w:p>
    <w:p w:rsidR="00E951EB" w:rsidRDefault="00E951EB" w:rsidP="008B1826">
      <w:pPr>
        <w:pStyle w:val="Default"/>
        <w:spacing w:line="276" w:lineRule="auto"/>
      </w:pPr>
      <w:r w:rsidRPr="00E951EB">
        <w:t>Hlavné činnosti NSRV SR budú uvedené v akčnom pláne, budú  zohľadňovať ciele PRV a budú pokrývať:</w:t>
      </w:r>
    </w:p>
    <w:p w:rsidR="00E951EB" w:rsidRPr="00E951EB" w:rsidRDefault="00E951EB" w:rsidP="008B1826">
      <w:pPr>
        <w:pStyle w:val="Default"/>
        <w:spacing w:line="276" w:lineRule="auto"/>
        <w:ind w:left="705"/>
      </w:pPr>
    </w:p>
    <w:p w:rsidR="00E951EB" w:rsidRPr="00E951EB" w:rsidRDefault="00E951EB" w:rsidP="008B1826">
      <w:pPr>
        <w:pStyle w:val="Default"/>
        <w:numPr>
          <w:ilvl w:val="0"/>
          <w:numId w:val="21"/>
        </w:numPr>
        <w:spacing w:line="276" w:lineRule="auto"/>
      </w:pPr>
      <w:r w:rsidRPr="00E951EB">
        <w:t xml:space="preserve">činnosti pokiaľ ide o zber príkladov projektov, ktoré zahŕňajú všetky priority programov rozvoja vidieka; </w:t>
      </w:r>
    </w:p>
    <w:p w:rsidR="00E951EB" w:rsidRPr="00E951EB" w:rsidRDefault="00E951EB" w:rsidP="008B1826">
      <w:pPr>
        <w:pStyle w:val="Default"/>
        <w:numPr>
          <w:ilvl w:val="0"/>
          <w:numId w:val="21"/>
        </w:numPr>
        <w:spacing w:line="276" w:lineRule="auto"/>
      </w:pPr>
      <w:r w:rsidRPr="00E951EB">
        <w:t xml:space="preserve">činnosti pokiaľ ide o uľahčovanie tematických a analytických výmen medzi zainteresovanými stranami v oblasti rozvoja vidieka, spoločné využívanie a šírenie zistení; </w:t>
      </w:r>
    </w:p>
    <w:p w:rsidR="00E951EB" w:rsidRPr="00E951EB" w:rsidRDefault="00E951EB" w:rsidP="008B1826">
      <w:pPr>
        <w:pStyle w:val="Default"/>
        <w:numPr>
          <w:ilvl w:val="0"/>
          <w:numId w:val="21"/>
        </w:numPr>
        <w:spacing w:line="276" w:lineRule="auto"/>
      </w:pPr>
      <w:r w:rsidRPr="00E951EB">
        <w:t xml:space="preserve">činnosti pokiaľ ide o poskytovanie odbornej prípravy a vytváranie sietí pre miestne akčné skupiny a najmä technickú pomoc pre spoluprácu medzi územnými celkami a pre nadnárodnú spoluprácu, uľahčenie spolupráce medzi miestnymi akčnými skupinami a vyhľadávanie partnerov pre opatrenie uvedené v článku 35; </w:t>
      </w:r>
    </w:p>
    <w:p w:rsidR="00E951EB" w:rsidRPr="00E951EB" w:rsidRDefault="00E951EB" w:rsidP="008B1826">
      <w:pPr>
        <w:pStyle w:val="Default"/>
        <w:numPr>
          <w:ilvl w:val="0"/>
          <w:numId w:val="21"/>
        </w:numPr>
        <w:spacing w:line="276" w:lineRule="auto"/>
      </w:pPr>
      <w:r w:rsidRPr="00E951EB">
        <w:t xml:space="preserve">činnosti pokiaľ ide o vytváranie sietí pre poradcov a služby na podporu inovácie; </w:t>
      </w:r>
    </w:p>
    <w:p w:rsidR="00E951EB" w:rsidRPr="00E951EB" w:rsidRDefault="00E951EB" w:rsidP="008B1826">
      <w:pPr>
        <w:pStyle w:val="Default"/>
        <w:numPr>
          <w:ilvl w:val="0"/>
          <w:numId w:val="21"/>
        </w:numPr>
        <w:spacing w:line="276" w:lineRule="auto"/>
      </w:pPr>
      <w:r w:rsidRPr="00E951EB">
        <w:t>spoločné využívanie a šírenie zistení z monitorovania a hodnotenia;</w:t>
      </w:r>
    </w:p>
    <w:p w:rsidR="00E951EB" w:rsidRPr="00E951EB" w:rsidRDefault="00E951EB" w:rsidP="008B1826">
      <w:pPr>
        <w:pStyle w:val="Default"/>
        <w:numPr>
          <w:ilvl w:val="0"/>
          <w:numId w:val="21"/>
        </w:numPr>
        <w:spacing w:line="276" w:lineRule="auto"/>
      </w:pPr>
      <w:r w:rsidRPr="00E951EB">
        <w:t>činnosti pokiaľ ide o komunikačný plán vrátane propagácie a informácií týkajúcich sa programu rozvoja vidieka po dohode s riadiacimi orgánmi a informácie a komunikačné činnosti zamerané na širšiu verejnosť;</w:t>
      </w:r>
    </w:p>
    <w:p w:rsidR="00E951EB" w:rsidRPr="00E951EB" w:rsidRDefault="00E951EB" w:rsidP="008B1826">
      <w:pPr>
        <w:pStyle w:val="Default"/>
        <w:numPr>
          <w:ilvl w:val="0"/>
          <w:numId w:val="21"/>
        </w:numPr>
        <w:spacing w:line="276" w:lineRule="auto"/>
      </w:pPr>
      <w:proofErr w:type="spellStart"/>
      <w:r w:rsidRPr="00E951EB">
        <w:rPr>
          <w:lang w:val="en-US"/>
        </w:rPr>
        <w:t>činnosti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na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zabezpečenie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účasti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na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činnostiach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Európskej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siete</w:t>
      </w:r>
      <w:proofErr w:type="spellEnd"/>
      <w:r w:rsidRPr="00E951EB">
        <w:rPr>
          <w:lang w:val="en-US"/>
        </w:rPr>
        <w:t xml:space="preserve"> pre </w:t>
      </w:r>
      <w:proofErr w:type="spellStart"/>
      <w:r w:rsidRPr="00E951EB">
        <w:rPr>
          <w:lang w:val="en-US"/>
        </w:rPr>
        <w:t>rozvoj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vidieka</w:t>
      </w:r>
      <w:proofErr w:type="spellEnd"/>
      <w:r w:rsidRPr="00E951EB">
        <w:rPr>
          <w:lang w:val="en-US"/>
        </w:rPr>
        <w:t xml:space="preserve"> a </w:t>
      </w:r>
      <w:proofErr w:type="spellStart"/>
      <w:r w:rsidRPr="00E951EB">
        <w:rPr>
          <w:lang w:val="en-US"/>
        </w:rPr>
        <w:t>prispenia</w:t>
      </w:r>
      <w:proofErr w:type="spellEnd"/>
      <w:r w:rsidRPr="00E951EB">
        <w:rPr>
          <w:lang w:val="en-US"/>
        </w:rPr>
        <w:t xml:space="preserve"> k </w:t>
      </w:r>
      <w:proofErr w:type="spellStart"/>
      <w:r w:rsidRPr="00E951EB">
        <w:rPr>
          <w:lang w:val="en-US"/>
        </w:rPr>
        <w:t>nim</w:t>
      </w:r>
      <w:proofErr w:type="spellEnd"/>
    </w:p>
    <w:p w:rsidR="00E951EB" w:rsidRPr="00E951EB" w:rsidRDefault="00E951EB" w:rsidP="008B1826">
      <w:pPr>
        <w:pStyle w:val="Default"/>
        <w:spacing w:line="276" w:lineRule="auto"/>
        <w:ind w:left="705"/>
      </w:pPr>
    </w:p>
    <w:p w:rsidR="00E951EB" w:rsidRDefault="00E951EB" w:rsidP="008B1826">
      <w:pPr>
        <w:pStyle w:val="Default"/>
        <w:spacing w:line="276" w:lineRule="auto"/>
      </w:pPr>
      <w:r w:rsidRPr="00E951EB">
        <w:t>V nadväznosti na uvedené hlavné ciele a činnosti v zmysle čl. 54 nariadenia č. 1305/2013 bude  NSRV vykonávať napr. nasledovné aktivity:</w:t>
      </w:r>
    </w:p>
    <w:p w:rsidR="008B1826" w:rsidRPr="00E951EB" w:rsidRDefault="008B1826" w:rsidP="008B1826">
      <w:pPr>
        <w:pStyle w:val="Default"/>
        <w:spacing w:line="276" w:lineRule="auto"/>
      </w:pP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poskytovanie poradenstva, informácií v oblasti rozvoja vidieka, poľnohospodárstva a lesného hospodárstva pre širokú verejnosť;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podpora inovácií v poľnohospodárstve, výrobe potravín, lesnom hospodárstve a vo vidieckych oblastiach, zahŕňajúca tiež prenos informácií z aktivít siete EIP;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zoskupovať organizácie, ktoré sú zapojené do podpory rozvoja vidieka a poľnohospodárstva;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spolupráca s RO a s inými sieťami/centrami na nadnárodnej/národnej/regionálnej úrovni prispievajúcich k implementácii EŠIF fondov v oblasti politiky rozvoja vidieka;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zabezpečovať výmenu skúseností s implementáciou PRV a iných operačných programov prispievajúcich k rozvoju vidieka;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lastRenderedPageBreak/>
        <w:t>založenie a koordinácia minimálne 2 tematických pracovných skupín otvorených pre členov siete zameraných na problematiku poľnohospodárstva a rozvoja vidieka;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zber, monitoring, hodnotenie a spolupráca s platobnou agentúrou na údajoch v oblasti rozvoja vidieka a LEADER/CLLD;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spolupráca v oblasti vytvárania sietí MAS a technická pomoc pre spoluprácu medzi územnými celkami a pre nadnárodnú spoluprácu, uľahčenie spolupráce medzi MAS a vyhľadávanie partnerov pre opatrenie Spolupráca;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slúžiť ako kontaktný bod v rámci aktivít LEADER/CLLD pre MAS a pre všetkých vidieckych partnerov a potenciálnych žiadateľov;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zber príkladov dobrej praxe;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podporovať národnú/nadnárodnú spoluprácu formou konferencií, diskusií, študijných a výmenných návštev/pobytov, účasti na zasadnutiach príslušných orgánov EK a pod.;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zabezpečovať stretnutia tímu NSRV;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r w:rsidRPr="00E951EB">
        <w:t>poskytovať spätnú väzbu RO a iným štátnym inštitúciám a zodpovedným orgánom vo vzťahu k politike rozvoja vidieka;</w:t>
      </w:r>
    </w:p>
    <w:p w:rsidR="00E951EB" w:rsidRPr="00E951EB" w:rsidRDefault="00E951EB" w:rsidP="008B1826">
      <w:pPr>
        <w:pStyle w:val="Default"/>
        <w:numPr>
          <w:ilvl w:val="0"/>
          <w:numId w:val="19"/>
        </w:numPr>
        <w:spacing w:line="276" w:lineRule="auto"/>
      </w:pPr>
      <w:proofErr w:type="spellStart"/>
      <w:proofErr w:type="gramStart"/>
      <w:r w:rsidRPr="00E951EB">
        <w:rPr>
          <w:lang w:val="en-US"/>
        </w:rPr>
        <w:t>činnosti</w:t>
      </w:r>
      <w:proofErr w:type="spellEnd"/>
      <w:proofErr w:type="gram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pokiaľ</w:t>
      </w:r>
      <w:proofErr w:type="spellEnd"/>
      <w:r w:rsidRPr="00E951EB">
        <w:rPr>
          <w:lang w:val="en-US"/>
        </w:rPr>
        <w:t xml:space="preserve"> ide o </w:t>
      </w:r>
      <w:proofErr w:type="spellStart"/>
      <w:r w:rsidRPr="00E951EB">
        <w:rPr>
          <w:lang w:val="en-US"/>
        </w:rPr>
        <w:t>vzdelávanie</w:t>
      </w:r>
      <w:proofErr w:type="spellEnd"/>
      <w:r w:rsidRPr="00E951EB">
        <w:rPr>
          <w:lang w:val="en-US"/>
        </w:rPr>
        <w:t xml:space="preserve"> a </w:t>
      </w:r>
      <w:proofErr w:type="spellStart"/>
      <w:r w:rsidRPr="00E951EB">
        <w:rPr>
          <w:lang w:val="en-US"/>
        </w:rPr>
        <w:t>informovanie</w:t>
      </w:r>
      <w:proofErr w:type="spellEnd"/>
      <w:r w:rsidRPr="00E951EB">
        <w:rPr>
          <w:lang w:val="en-US"/>
        </w:rPr>
        <w:t xml:space="preserve"> so </w:t>
      </w:r>
      <w:proofErr w:type="spellStart"/>
      <w:r w:rsidRPr="00E951EB">
        <w:rPr>
          <w:lang w:val="en-US"/>
        </w:rPr>
        <w:t>zameraním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na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marginalizované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skupiny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obyvateľstva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vrátanie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marginalizovaných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rómskych</w:t>
      </w:r>
      <w:proofErr w:type="spellEnd"/>
      <w:r w:rsidRPr="00E951EB">
        <w:rPr>
          <w:lang w:val="en-US"/>
        </w:rPr>
        <w:t xml:space="preserve"> </w:t>
      </w:r>
      <w:proofErr w:type="spellStart"/>
      <w:r w:rsidRPr="00E951EB">
        <w:rPr>
          <w:lang w:val="en-US"/>
        </w:rPr>
        <w:t>komunít</w:t>
      </w:r>
      <w:proofErr w:type="spellEnd"/>
      <w:r w:rsidRPr="00E951EB">
        <w:rPr>
          <w:lang w:val="en-US"/>
        </w:rPr>
        <w:t>.</w:t>
      </w:r>
    </w:p>
    <w:p w:rsidR="00F441EC" w:rsidRDefault="00F441EC" w:rsidP="004C4E73">
      <w:pPr>
        <w:pStyle w:val="Default"/>
        <w:ind w:left="705"/>
        <w:jc w:val="both"/>
      </w:pPr>
    </w:p>
    <w:p w:rsidR="00F441EC" w:rsidRDefault="00F441EC" w:rsidP="004C4E73">
      <w:pPr>
        <w:pStyle w:val="Default"/>
        <w:ind w:left="705"/>
        <w:jc w:val="both"/>
      </w:pPr>
    </w:p>
    <w:p w:rsidR="00E4071D" w:rsidRDefault="00E4071D" w:rsidP="004C4E73">
      <w:pPr>
        <w:pStyle w:val="Default"/>
        <w:ind w:firstLine="708"/>
        <w:jc w:val="center"/>
        <w:rPr>
          <w:b/>
        </w:rPr>
      </w:pPr>
      <w:r w:rsidRPr="00E4071D">
        <w:rPr>
          <w:b/>
        </w:rPr>
        <w:t xml:space="preserve">Rozsah </w:t>
      </w:r>
      <w:r w:rsidR="00FB6C2A">
        <w:rPr>
          <w:b/>
        </w:rPr>
        <w:t xml:space="preserve">analýzy (paušálna </w:t>
      </w:r>
      <w:r w:rsidR="00F20FD4">
        <w:rPr>
          <w:b/>
        </w:rPr>
        <w:t>sadzba</w:t>
      </w:r>
      <w:r w:rsidR="00FB6C2A">
        <w:rPr>
          <w:b/>
        </w:rPr>
        <w:t xml:space="preserve">) </w:t>
      </w:r>
      <w:r w:rsidRPr="00E4071D">
        <w:rPr>
          <w:b/>
        </w:rPr>
        <w:t>a</w:t>
      </w:r>
      <w:r w:rsidR="00FB6C2A">
        <w:rPr>
          <w:b/>
        </w:rPr>
        <w:t> </w:t>
      </w:r>
      <w:r w:rsidRPr="00E4071D">
        <w:rPr>
          <w:b/>
        </w:rPr>
        <w:t>činnosť</w:t>
      </w:r>
      <w:r w:rsidR="00FB6C2A">
        <w:rPr>
          <w:b/>
        </w:rPr>
        <w:t xml:space="preserve"> </w:t>
      </w:r>
      <w:r w:rsidR="00FB6C2A" w:rsidRPr="00FB6C2A">
        <w:rPr>
          <w:b/>
        </w:rPr>
        <w:t>R</w:t>
      </w:r>
      <w:r w:rsidR="00284175">
        <w:rPr>
          <w:b/>
        </w:rPr>
        <w:t>A NSRV</w:t>
      </w:r>
    </w:p>
    <w:p w:rsidR="00F96497" w:rsidRDefault="00F96497" w:rsidP="004C4E73">
      <w:pPr>
        <w:pStyle w:val="Default"/>
        <w:ind w:firstLine="708"/>
        <w:jc w:val="center"/>
        <w:rPr>
          <w:b/>
        </w:rPr>
      </w:pPr>
    </w:p>
    <w:p w:rsidR="00FB6C2A" w:rsidRDefault="00FB6C2A" w:rsidP="008B1826">
      <w:pPr>
        <w:pStyle w:val="Default"/>
        <w:spacing w:line="276" w:lineRule="auto"/>
        <w:ind w:firstLine="708"/>
        <w:jc w:val="both"/>
      </w:pPr>
      <w:r>
        <w:t>V rámci NSRV SR budú p</w:t>
      </w:r>
      <w:r w:rsidR="00E4071D" w:rsidRPr="00E4071D">
        <w:t xml:space="preserve">odporované </w:t>
      </w:r>
      <w:r>
        <w:t xml:space="preserve">okrem iného výdavky, ktoré sú nevyhnutné pre </w:t>
      </w:r>
      <w:r w:rsidRPr="00DA7853">
        <w:t>realizáciu akčného plánu</w:t>
      </w:r>
      <w:r w:rsidR="00EC4CCB" w:rsidRPr="00DA7853">
        <w:t>/pracovného programu</w:t>
      </w:r>
      <w:r>
        <w:t xml:space="preserve"> a </w:t>
      </w:r>
      <w:r w:rsidR="00E4071D">
        <w:t>chod</w:t>
      </w:r>
      <w:r w:rsidR="00E4071D" w:rsidRPr="00E4071D">
        <w:t xml:space="preserve"> </w:t>
      </w:r>
      <w:r w:rsidR="00E023A8" w:rsidRPr="00E023A8">
        <w:t>R</w:t>
      </w:r>
      <w:r w:rsidR="00284175">
        <w:t>A</w:t>
      </w:r>
      <w:r w:rsidRPr="00FB6C2A">
        <w:t xml:space="preserve"> </w:t>
      </w:r>
      <w:r w:rsidRPr="00E023A8">
        <w:t>NSRV</w:t>
      </w:r>
      <w:r>
        <w:t>:</w:t>
      </w:r>
    </w:p>
    <w:p w:rsidR="00F441EC" w:rsidRDefault="00F441EC" w:rsidP="008B1826">
      <w:pPr>
        <w:pStyle w:val="Default"/>
        <w:spacing w:line="276" w:lineRule="auto"/>
        <w:ind w:firstLine="708"/>
        <w:jc w:val="both"/>
      </w:pPr>
    </w:p>
    <w:p w:rsidR="00FB6C2A" w:rsidRDefault="00FB6C2A" w:rsidP="008B1826">
      <w:pPr>
        <w:pStyle w:val="Default"/>
        <w:numPr>
          <w:ilvl w:val="0"/>
          <w:numId w:val="10"/>
        </w:numPr>
        <w:spacing w:line="276" w:lineRule="auto"/>
        <w:jc w:val="both"/>
      </w:pPr>
      <w:r w:rsidRPr="00FB6C2A">
        <w:t xml:space="preserve">Zber a poskytovanie informácií </w:t>
      </w:r>
      <w:r>
        <w:t xml:space="preserve">vrátane </w:t>
      </w:r>
      <w:r w:rsidR="00E4071D" w:rsidRPr="00E4071D">
        <w:t xml:space="preserve"> </w:t>
      </w:r>
      <w:r w:rsidRPr="00FB6C2A">
        <w:t>manaž</w:t>
      </w:r>
      <w:r>
        <w:t>é</w:t>
      </w:r>
      <w:r w:rsidRPr="00FB6C2A">
        <w:t>rsk</w:t>
      </w:r>
      <w:r>
        <w:t xml:space="preserve">ych činností,      </w:t>
      </w:r>
    </w:p>
    <w:p w:rsidR="00FB6C2A" w:rsidRDefault="00FB6C2A" w:rsidP="008B1826">
      <w:pPr>
        <w:pStyle w:val="Default"/>
        <w:spacing w:line="276" w:lineRule="auto"/>
        <w:ind w:left="1068"/>
        <w:jc w:val="both"/>
      </w:pPr>
      <w:r>
        <w:t xml:space="preserve">organizačno-administratívnych činností, </w:t>
      </w:r>
      <w:r w:rsidRPr="00FB6C2A">
        <w:t>prevádzkov</w:t>
      </w:r>
      <w:r>
        <w:t>ých</w:t>
      </w:r>
      <w:r w:rsidRPr="00FB6C2A">
        <w:t xml:space="preserve"> náklad</w:t>
      </w:r>
      <w:r>
        <w:t>ov</w:t>
      </w:r>
      <w:r w:rsidRPr="00FB6C2A">
        <w:t xml:space="preserve"> počas prípravy </w:t>
      </w:r>
    </w:p>
    <w:p w:rsidR="00FB6C2A" w:rsidRDefault="00FB6C2A" w:rsidP="008B1826">
      <w:pPr>
        <w:pStyle w:val="Default"/>
        <w:spacing w:line="276" w:lineRule="auto"/>
        <w:ind w:left="1068"/>
        <w:jc w:val="both"/>
      </w:pPr>
      <w:r w:rsidRPr="00FB6C2A">
        <w:t>aktivity a jej vyhodnotenia</w:t>
      </w:r>
      <w:r>
        <w:t xml:space="preserve">, </w:t>
      </w:r>
      <w:r w:rsidRPr="00FB6C2A">
        <w:t>poradensk</w:t>
      </w:r>
      <w:r>
        <w:t>ých</w:t>
      </w:r>
      <w:r w:rsidRPr="00FB6C2A">
        <w:t xml:space="preserve"> služ</w:t>
      </w:r>
      <w:r>
        <w:t>ie</w:t>
      </w:r>
      <w:r w:rsidRPr="00FB6C2A">
        <w:t>b a</w:t>
      </w:r>
      <w:r>
        <w:t> </w:t>
      </w:r>
      <w:r w:rsidRPr="00FB6C2A">
        <w:t>monitoring</w:t>
      </w:r>
      <w:r>
        <w:t>u;</w:t>
      </w:r>
      <w:r w:rsidR="00F441EC">
        <w:t xml:space="preserve"> </w:t>
      </w:r>
      <w:r w:rsidR="00F441EC" w:rsidRPr="00FB6C2A">
        <w:t>/</w:t>
      </w:r>
      <w:r w:rsidR="00F20FD4">
        <w:t xml:space="preserve">reálne výdavky a </w:t>
      </w:r>
      <w:r w:rsidR="00F441EC" w:rsidRPr="00FB6C2A">
        <w:t>paušálna zložka/</w:t>
      </w:r>
      <w:r w:rsidR="00F441EC" w:rsidRPr="00E4071D">
        <w:t>,</w:t>
      </w:r>
    </w:p>
    <w:p w:rsidR="00FB6C2A" w:rsidRDefault="00FB6C2A" w:rsidP="008B1826">
      <w:pPr>
        <w:pStyle w:val="Default"/>
        <w:numPr>
          <w:ilvl w:val="0"/>
          <w:numId w:val="10"/>
        </w:numPr>
        <w:spacing w:line="276" w:lineRule="auto"/>
        <w:jc w:val="both"/>
      </w:pPr>
      <w:r w:rsidRPr="00FB6C2A">
        <w:t>Vzdelávacie a informačné aktivity, Propagácia NSRV</w:t>
      </w:r>
      <w:r>
        <w:t xml:space="preserve"> SR</w:t>
      </w:r>
      <w:r w:rsidRPr="00FB6C2A">
        <w:t>, Národná a nadnárodná spolupráca /pohyblivá zložka/</w:t>
      </w:r>
      <w:r>
        <w:t xml:space="preserve"> </w:t>
      </w:r>
      <w:r w:rsidRPr="008B1826">
        <w:t>- táto časť nie je súčasťou analýzy</w:t>
      </w:r>
      <w:r>
        <w:t>. Konečný prijímateľ finančnej pomoci bude preukazovať pri Žiadosti o platbu skutočne realizované aktivity podložené účtovnými dokladmi;</w:t>
      </w:r>
    </w:p>
    <w:p w:rsidR="00FB6C2A" w:rsidRDefault="00FB6C2A" w:rsidP="008B1826">
      <w:pPr>
        <w:pStyle w:val="Default"/>
        <w:spacing w:line="276" w:lineRule="auto"/>
        <w:ind w:firstLine="708"/>
        <w:jc w:val="both"/>
      </w:pPr>
    </w:p>
    <w:p w:rsidR="000061B4" w:rsidRDefault="00FB6C2A" w:rsidP="008B1826">
      <w:pPr>
        <w:pStyle w:val="Default"/>
        <w:spacing w:line="276" w:lineRule="auto"/>
        <w:ind w:firstLine="708"/>
        <w:jc w:val="both"/>
      </w:pPr>
      <w:r>
        <w:t>A</w:t>
      </w:r>
      <w:r w:rsidR="00897029">
        <w:t>nalýza</w:t>
      </w:r>
      <w:r w:rsidR="00897029" w:rsidRPr="00845DF5">
        <w:t xml:space="preserve"> </w:t>
      </w:r>
      <w:r w:rsidR="00897029" w:rsidRPr="00897029">
        <w:t>dosi</w:t>
      </w:r>
      <w:r w:rsidR="00F441EC">
        <w:t>a</w:t>
      </w:r>
      <w:r w:rsidR="00A15D5E">
        <w:t>hnutia primeranej paušálne</w:t>
      </w:r>
      <w:r w:rsidR="00F20FD4">
        <w:t>j</w:t>
      </w:r>
      <w:r w:rsidR="00A15D5E">
        <w:t xml:space="preserve"> </w:t>
      </w:r>
      <w:r w:rsidR="00F20FD4">
        <w:t xml:space="preserve">sadzby </w:t>
      </w:r>
      <w:r w:rsidR="00897029" w:rsidRPr="00897029">
        <w:t xml:space="preserve">pre </w:t>
      </w:r>
      <w:r w:rsidR="00F20FD4">
        <w:t xml:space="preserve">nepriame výdavky </w:t>
      </w:r>
      <w:r w:rsidR="00E023A8" w:rsidRPr="00E023A8">
        <w:t>R</w:t>
      </w:r>
      <w:r w:rsidR="00284175">
        <w:t>A</w:t>
      </w:r>
      <w:r w:rsidR="00E023A8" w:rsidRPr="00E023A8">
        <w:t xml:space="preserve"> NSRV </w:t>
      </w:r>
      <w:r w:rsidR="0099767F">
        <w:t xml:space="preserve">odzrkadľuje ročné </w:t>
      </w:r>
      <w:r w:rsidR="00897029" w:rsidRPr="00845DF5">
        <w:t xml:space="preserve">prevádzkové výdavky </w:t>
      </w:r>
      <w:r w:rsidR="0099767F">
        <w:t>regionálne</w:t>
      </w:r>
      <w:r w:rsidR="00284175">
        <w:t>j</w:t>
      </w:r>
      <w:r w:rsidR="0099767F">
        <w:t xml:space="preserve"> </w:t>
      </w:r>
      <w:r w:rsidR="00284175">
        <w:t>antény</w:t>
      </w:r>
      <w:r w:rsidR="00897029" w:rsidRPr="00845DF5">
        <w:t>.</w:t>
      </w:r>
      <w:r w:rsidR="00897029">
        <w:t xml:space="preserve"> </w:t>
      </w:r>
      <w:r w:rsidR="00520DB2">
        <w:t xml:space="preserve">Z analýzy vychádza </w:t>
      </w:r>
      <w:r w:rsidR="0099767F">
        <w:t>maximálna suma</w:t>
      </w:r>
      <w:r w:rsidR="007F0AE7">
        <w:t xml:space="preserve"> pre priame (personálne) výdavky a </w:t>
      </w:r>
      <w:r w:rsidR="00897029">
        <w:t>paušáln</w:t>
      </w:r>
      <w:r w:rsidR="007F0AE7">
        <w:t>a</w:t>
      </w:r>
      <w:r w:rsidR="00897029">
        <w:t xml:space="preserve"> </w:t>
      </w:r>
      <w:r w:rsidR="007F0AE7">
        <w:t>sadzba</w:t>
      </w:r>
      <w:r w:rsidR="00897029">
        <w:t xml:space="preserve"> </w:t>
      </w:r>
      <w:r w:rsidR="00520DB2">
        <w:t>na</w:t>
      </w:r>
      <w:r w:rsidR="007F0AE7">
        <w:t xml:space="preserve"> nepriame výdavky na</w:t>
      </w:r>
      <w:r w:rsidR="00F441EC">
        <w:t xml:space="preserve"> ročnú</w:t>
      </w:r>
      <w:r w:rsidR="00520DB2">
        <w:t xml:space="preserve"> prevádzku </w:t>
      </w:r>
      <w:r w:rsidR="00E023A8" w:rsidRPr="00E023A8">
        <w:t>R</w:t>
      </w:r>
      <w:r w:rsidR="00284175">
        <w:t>A</w:t>
      </w:r>
      <w:r w:rsidR="00E023A8" w:rsidRPr="00E023A8">
        <w:t xml:space="preserve"> NSRV </w:t>
      </w:r>
      <w:r w:rsidR="00520DB2">
        <w:t xml:space="preserve">po splnení </w:t>
      </w:r>
      <w:r w:rsidR="0099767F">
        <w:t>vopred</w:t>
      </w:r>
      <w:r w:rsidR="00520DB2">
        <w:t xml:space="preserve"> určených podmienok</w:t>
      </w:r>
      <w:r w:rsidR="00A15D5E">
        <w:t>. Táto forma financovania</w:t>
      </w:r>
      <w:r w:rsidR="0099767F">
        <w:t xml:space="preserve"> </w:t>
      </w:r>
      <w:r w:rsidR="00897029">
        <w:t xml:space="preserve">znamená odbúranie administratívnej náročnosti jednak na strane konečného prijímateľa finančnej pomoci ale najmä na strane Pôdohospodárskej platobnej agentúry, ako poskytovateľa nenávratného finančného príspevku. Analýza </w:t>
      </w:r>
      <w:r w:rsidR="00520DB2">
        <w:t xml:space="preserve">poukazuje na to, že hlavnými výdavkami na chod takejto organizácie sú </w:t>
      </w:r>
      <w:r w:rsidR="00147E7B">
        <w:t xml:space="preserve">personálne </w:t>
      </w:r>
      <w:r w:rsidR="00AE6BB1">
        <w:t xml:space="preserve">výdavky </w:t>
      </w:r>
      <w:r w:rsidR="000061B4" w:rsidRPr="00741892">
        <w:t>súvisiace s administráciou a</w:t>
      </w:r>
      <w:r w:rsidR="00520DB2">
        <w:t> plnením požiadav</w:t>
      </w:r>
      <w:r w:rsidR="00E4071D">
        <w:t>ie</w:t>
      </w:r>
      <w:r w:rsidR="00520DB2">
        <w:t xml:space="preserve">k, ktoré vyplývajú </w:t>
      </w:r>
      <w:r w:rsidR="00520DB2" w:rsidRPr="00DA7853">
        <w:t>z </w:t>
      </w:r>
      <w:r w:rsidR="00EC4CCB" w:rsidRPr="00DA7853">
        <w:t>akčného plánu/pracovného programu</w:t>
      </w:r>
      <w:r w:rsidR="00EC4CCB">
        <w:t xml:space="preserve"> </w:t>
      </w:r>
      <w:r w:rsidR="00520DB2">
        <w:t>NSRV</w:t>
      </w:r>
      <w:r w:rsidR="000061B4" w:rsidRPr="00741892">
        <w:t xml:space="preserve"> ako aj s informovaním a</w:t>
      </w:r>
      <w:r w:rsidR="00147E7B">
        <w:t> </w:t>
      </w:r>
      <w:r w:rsidR="000061B4" w:rsidRPr="00741892">
        <w:t>publicitou</w:t>
      </w:r>
      <w:r w:rsidR="00147E7B">
        <w:t xml:space="preserve"> a taktiež</w:t>
      </w:r>
      <w:r w:rsidR="00253F77">
        <w:t xml:space="preserve"> </w:t>
      </w:r>
      <w:r w:rsidR="00520DB2">
        <w:t xml:space="preserve">dodávkou </w:t>
      </w:r>
      <w:r w:rsidR="00147E7B">
        <w:t>kancelárskeho vybavenia</w:t>
      </w:r>
      <w:r w:rsidR="00520DB2">
        <w:t>, I</w:t>
      </w:r>
      <w:r w:rsidR="00147E7B">
        <w:t>K</w:t>
      </w:r>
      <w:r w:rsidR="00520DB2">
        <w:t xml:space="preserve">T </w:t>
      </w:r>
      <w:r w:rsidR="00E4071D">
        <w:t>techniky a</w:t>
      </w:r>
      <w:r w:rsidR="00147E7B">
        <w:t xml:space="preserve"> IKT </w:t>
      </w:r>
      <w:r w:rsidR="00520DB2">
        <w:t>služieb</w:t>
      </w:r>
      <w:r w:rsidR="00147E7B">
        <w:t>.</w:t>
      </w:r>
    </w:p>
    <w:p w:rsidR="000306A2" w:rsidRPr="0099767F" w:rsidRDefault="00F84A7A" w:rsidP="008B1826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99767F">
        <w:rPr>
          <w:rFonts w:ascii="TimesNewRoman" w:hAnsi="TimesNewRoman" w:cs="TimesNewRoman"/>
          <w:sz w:val="24"/>
          <w:szCs w:val="24"/>
        </w:rPr>
        <w:lastRenderedPageBreak/>
        <w:t>Predmetom analýzy boli o</w:t>
      </w:r>
      <w:r w:rsidR="0040737C" w:rsidRPr="0099767F">
        <w:rPr>
          <w:rFonts w:ascii="TimesNewRoman" w:hAnsi="TimesNewRoman" w:cs="TimesNewRoman"/>
          <w:sz w:val="24"/>
          <w:szCs w:val="24"/>
        </w:rPr>
        <w:t xml:space="preserve">právnené </w:t>
      </w:r>
      <w:r w:rsidR="00B42805" w:rsidRPr="0099767F">
        <w:rPr>
          <w:rFonts w:ascii="TimesNewRoman" w:hAnsi="TimesNewRoman" w:cs="TimesNewRoman"/>
          <w:sz w:val="24"/>
          <w:szCs w:val="24"/>
        </w:rPr>
        <w:t xml:space="preserve">priame </w:t>
      </w:r>
      <w:r w:rsidR="0040737C" w:rsidRPr="0099767F">
        <w:rPr>
          <w:rFonts w:ascii="TimesNewRoman" w:hAnsi="TimesNewRoman" w:cs="TimesNewRoman"/>
          <w:sz w:val="24"/>
          <w:szCs w:val="24"/>
        </w:rPr>
        <w:t>výdavky</w:t>
      </w:r>
      <w:r w:rsidRPr="0099767F">
        <w:rPr>
          <w:rFonts w:ascii="TimesNewRoman" w:hAnsi="TimesNewRoman" w:cs="TimesNewRoman"/>
          <w:sz w:val="24"/>
          <w:szCs w:val="24"/>
        </w:rPr>
        <w:t>,</w:t>
      </w:r>
      <w:r w:rsidR="0040737C" w:rsidRPr="0099767F">
        <w:rPr>
          <w:rFonts w:ascii="TimesNewRoman" w:hAnsi="TimesNewRoman" w:cs="TimesNewRoman"/>
          <w:sz w:val="24"/>
          <w:szCs w:val="24"/>
        </w:rPr>
        <w:t xml:space="preserve"> ktoré boli vynaložené </w:t>
      </w:r>
      <w:r w:rsidRPr="0099767F">
        <w:rPr>
          <w:rFonts w:ascii="TimesNewRoman" w:hAnsi="TimesNewRoman" w:cs="TimesNewRoman"/>
          <w:sz w:val="24"/>
          <w:szCs w:val="24"/>
        </w:rPr>
        <w:t xml:space="preserve">po zriadení NSRV </w:t>
      </w:r>
      <w:r w:rsidR="0040737C" w:rsidRPr="0099767F">
        <w:rPr>
          <w:rFonts w:ascii="TimesNewRoman" w:hAnsi="TimesNewRoman" w:cs="TimesNewRoman"/>
          <w:sz w:val="24"/>
          <w:szCs w:val="24"/>
        </w:rPr>
        <w:t>a súvis</w:t>
      </w:r>
      <w:r w:rsidRPr="0099767F">
        <w:rPr>
          <w:rFonts w:ascii="TimesNewRoman" w:hAnsi="TimesNewRoman" w:cs="TimesNewRoman"/>
          <w:sz w:val="24"/>
          <w:szCs w:val="24"/>
        </w:rPr>
        <w:t>eli</w:t>
      </w:r>
      <w:r w:rsidR="0040737C" w:rsidRPr="0099767F">
        <w:rPr>
          <w:rFonts w:ascii="TimesNewRoman" w:hAnsi="TimesNewRoman" w:cs="TimesNewRoman"/>
          <w:sz w:val="24"/>
          <w:szCs w:val="24"/>
        </w:rPr>
        <w:t xml:space="preserve"> s</w:t>
      </w:r>
      <w:r w:rsidRPr="0099767F">
        <w:rPr>
          <w:rFonts w:ascii="TimesNewRoman" w:hAnsi="TimesNewRoman" w:cs="TimesNewRoman"/>
          <w:sz w:val="24"/>
          <w:szCs w:val="24"/>
        </w:rPr>
        <w:t> projektom NSRV (</w:t>
      </w:r>
      <w:proofErr w:type="spellStart"/>
      <w:r w:rsidRPr="0099767F">
        <w:rPr>
          <w:rFonts w:ascii="TimesNewRoman" w:hAnsi="TimesNewRoman" w:cs="TimesNewRoman"/>
          <w:sz w:val="24"/>
          <w:szCs w:val="24"/>
        </w:rPr>
        <w:t>op</w:t>
      </w:r>
      <w:proofErr w:type="spellEnd"/>
      <w:r w:rsidRPr="0099767F">
        <w:rPr>
          <w:rFonts w:ascii="TimesNewRoman" w:hAnsi="TimesNewRoman" w:cs="TimesNewRoman"/>
          <w:sz w:val="24"/>
          <w:szCs w:val="24"/>
        </w:rPr>
        <w:t>. 5.2) v rámci Programu rozvoja vidieka SR PRV 2007 – 2013</w:t>
      </w:r>
      <w:r w:rsidR="000306A2" w:rsidRPr="0099767F">
        <w:rPr>
          <w:rFonts w:ascii="TimesNewRoman" w:hAnsi="TimesNewRoman" w:cs="TimesNewRoman"/>
          <w:sz w:val="24"/>
          <w:szCs w:val="24"/>
        </w:rPr>
        <w:t>.</w:t>
      </w:r>
      <w:r w:rsidRPr="0099767F">
        <w:rPr>
          <w:rFonts w:ascii="TimesNewRoman" w:hAnsi="TimesNewRoman" w:cs="TimesNewRoman"/>
          <w:sz w:val="24"/>
          <w:szCs w:val="24"/>
        </w:rPr>
        <w:t xml:space="preserve"> </w:t>
      </w:r>
      <w:r w:rsidR="000306A2" w:rsidRPr="0099767F">
        <w:rPr>
          <w:rFonts w:ascii="TimesNewRoman" w:hAnsi="TimesNewRoman" w:cs="TimesNewRoman"/>
          <w:sz w:val="24"/>
          <w:szCs w:val="24"/>
        </w:rPr>
        <w:t>Druhá časť analýzy pozostáva z prieskumu trhu</w:t>
      </w:r>
      <w:r w:rsidR="00B932BC">
        <w:rPr>
          <w:rFonts w:ascii="TimesNewRoman" w:hAnsi="TimesNewRoman" w:cs="TimesNewRoman"/>
          <w:color w:val="FF0000"/>
          <w:sz w:val="24"/>
          <w:szCs w:val="24"/>
        </w:rPr>
        <w:t>.</w:t>
      </w:r>
    </w:p>
    <w:p w:rsidR="007F0AE7" w:rsidRDefault="007F0AE7" w:rsidP="008B1826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7F0AE7" w:rsidRPr="00F84A7A" w:rsidRDefault="007F0AE7" w:rsidP="008B1826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9B5BC0">
        <w:rPr>
          <w:rFonts w:ascii="TimesNewRoman" w:hAnsi="TimesNewRoman" w:cs="TimesNewRoman"/>
          <w:sz w:val="24"/>
          <w:szCs w:val="24"/>
        </w:rPr>
        <w:t>Maximálna suma, ktorá môže byť poskytnutá formou refundácie/úhrady priamych personálnych výdavkov a p</w:t>
      </w:r>
      <w:r w:rsidRPr="0099767F">
        <w:rPr>
          <w:rFonts w:ascii="TimesNewRoman" w:hAnsi="TimesNewRoman" w:cs="TimesNewRoman"/>
          <w:sz w:val="24"/>
          <w:szCs w:val="24"/>
        </w:rPr>
        <w:t>aušáln</w:t>
      </w:r>
      <w:r>
        <w:rPr>
          <w:rFonts w:ascii="TimesNewRoman" w:hAnsi="TimesNewRoman" w:cs="TimesNewRoman"/>
          <w:sz w:val="24"/>
          <w:szCs w:val="24"/>
        </w:rPr>
        <w:t>a</w:t>
      </w:r>
      <w:r w:rsidRPr="0099767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sadzba</w:t>
      </w:r>
      <w:r w:rsidRPr="00F84A7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 základe analýzy</w:t>
      </w:r>
      <w:r w:rsidRPr="00F84A7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obsahuje </w:t>
      </w:r>
      <w:r w:rsidRPr="00F84A7A">
        <w:rPr>
          <w:rFonts w:ascii="TimesNewRoman" w:hAnsi="TimesNewRoman" w:cs="TimesNewRoman"/>
          <w:sz w:val="24"/>
          <w:szCs w:val="24"/>
        </w:rPr>
        <w:t xml:space="preserve">výdavky/náklady </w:t>
      </w:r>
      <w:r>
        <w:rPr>
          <w:rFonts w:ascii="TimesNewRoman" w:hAnsi="TimesNewRoman" w:cs="TimesNewRoman"/>
          <w:sz w:val="24"/>
          <w:szCs w:val="24"/>
        </w:rPr>
        <w:t>R</w:t>
      </w:r>
      <w:r w:rsidR="00284175"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 xml:space="preserve"> NSRV </w:t>
      </w:r>
      <w:r w:rsidRPr="00F84A7A">
        <w:rPr>
          <w:rFonts w:ascii="TimesNewRoman" w:hAnsi="TimesNewRoman" w:cs="TimesNewRoman"/>
          <w:sz w:val="24"/>
          <w:szCs w:val="24"/>
        </w:rPr>
        <w:t xml:space="preserve">súvisiace </w:t>
      </w:r>
      <w:r>
        <w:rPr>
          <w:rFonts w:ascii="TimesNewRoman" w:hAnsi="TimesNewRoman" w:cs="TimesNewRoman"/>
          <w:sz w:val="24"/>
          <w:szCs w:val="24"/>
        </w:rPr>
        <w:t xml:space="preserve">s </w:t>
      </w:r>
      <w:r w:rsidRPr="00D60322">
        <w:rPr>
          <w:rFonts w:ascii="TimesNewRoman" w:hAnsi="TimesNewRoman" w:cs="TimesNewRoman"/>
          <w:sz w:val="24"/>
          <w:szCs w:val="24"/>
        </w:rPr>
        <w:t xml:space="preserve">prevádzkovými výdavkami pracovísk, so zabezpečením realizácie riadenia úloh, publicity a informovanosti: </w:t>
      </w:r>
    </w:p>
    <w:p w:rsidR="004C4E73" w:rsidRDefault="004C4E73" w:rsidP="008B1826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BF7CD1" w:rsidRPr="00147E7B" w:rsidRDefault="00BF7CD1" w:rsidP="008B182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sz w:val="24"/>
          <w:szCs w:val="24"/>
        </w:rPr>
        <w:t>1</w:t>
      </w: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)  výdavky </w:t>
      </w:r>
      <w:r w:rsidR="0059690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8417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9690C">
        <w:rPr>
          <w:rFonts w:ascii="Times New Roman" w:hAnsi="Times New Roman" w:cs="Times New Roman"/>
          <w:color w:val="000000"/>
          <w:sz w:val="24"/>
          <w:szCs w:val="24"/>
        </w:rPr>
        <w:t xml:space="preserve"> NSRV</w:t>
      </w: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 na personálne zabezpečenie organizácie</w:t>
      </w:r>
      <w:r w:rsidR="0059690C">
        <w:rPr>
          <w:rFonts w:ascii="Times New Roman" w:hAnsi="Times New Roman" w:cs="Times New Roman"/>
          <w:color w:val="000000"/>
          <w:sz w:val="24"/>
          <w:szCs w:val="24"/>
        </w:rPr>
        <w:t xml:space="preserve"> (interné, alebo externé), služby zabezpečujúce chod a údržbu </w:t>
      </w:r>
      <w:r w:rsidR="0059690C" w:rsidRPr="006D3CC0">
        <w:rPr>
          <w:rFonts w:ascii="Times New Roman" w:hAnsi="Times New Roman" w:cs="Times New Roman"/>
          <w:color w:val="000000"/>
          <w:sz w:val="24"/>
          <w:szCs w:val="24"/>
        </w:rPr>
        <w:t>pracoviska</w:t>
      </w:r>
      <w:r w:rsidR="007F0AE7" w:rsidRPr="006D3CC0">
        <w:rPr>
          <w:rFonts w:ascii="Times New Roman" w:hAnsi="Times New Roman" w:cs="Times New Roman"/>
          <w:color w:val="000000"/>
          <w:sz w:val="24"/>
          <w:szCs w:val="24"/>
        </w:rPr>
        <w:t xml:space="preserve"> (preukazovanie personálnych výdavkov v rámci žiadosti o platbu):</w:t>
      </w:r>
    </w:p>
    <w:p w:rsidR="00F84A7A" w:rsidRPr="004C4E73" w:rsidRDefault="0059690C" w:rsidP="008B182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Personálne </w:t>
      </w:r>
      <w:r w:rsidR="00F84A7A" w:rsidRPr="004C4E73">
        <w:rPr>
          <w:rFonts w:ascii="Times New Roman" w:hAnsi="Times New Roman" w:cs="Times New Roman"/>
          <w:color w:val="000000"/>
          <w:sz w:val="24"/>
          <w:szCs w:val="24"/>
        </w:rPr>
        <w:t xml:space="preserve">výdavky, ktoré súvisia s výkonom týchto činností: </w:t>
      </w:r>
    </w:p>
    <w:p w:rsidR="00BF7CD1" w:rsidRPr="00147E7B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>riadenie</w:t>
      </w:r>
      <w:r w:rsidR="00147E7B">
        <w:rPr>
          <w:rFonts w:ascii="Times New Roman" w:hAnsi="Times New Roman" w:cs="Times New Roman"/>
          <w:color w:val="000000"/>
          <w:sz w:val="24"/>
          <w:szCs w:val="24"/>
        </w:rPr>
        <w:t xml:space="preserve"> (manažérske činnosti)</w:t>
      </w:r>
      <w:r w:rsidRPr="00147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519" w:rsidRPr="00147E7B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administrácia súvisiaca s riadením, organizovaním, finančným zúčtovaním, sledovaním čiastkových a celkových výsledkov (monitorovaním), hodnotením výsledkov, zabezpečením publicity a informovanosti a pod.; </w:t>
      </w:r>
    </w:p>
    <w:p w:rsidR="003D2519" w:rsidRPr="00147E7B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publicita a informovanosť; </w:t>
      </w:r>
    </w:p>
    <w:p w:rsidR="003D2519" w:rsidRPr="00147E7B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vedenie účtovníctva; </w:t>
      </w:r>
    </w:p>
    <w:p w:rsidR="003D2519" w:rsidRPr="00147E7B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vedenie agendy personalistiky a miezd; </w:t>
      </w:r>
    </w:p>
    <w:p w:rsidR="003D2519" w:rsidRPr="00147E7B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realizáciu </w:t>
      </w:r>
      <w:r w:rsidR="003D2519"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verejného obstarávania, verejnej obchodnej súťaže, prieskumu trhu; </w:t>
      </w:r>
    </w:p>
    <w:p w:rsidR="003D2519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sledovanie čerpania rozpočtu; </w:t>
      </w:r>
    </w:p>
    <w:p w:rsidR="00D73892" w:rsidRPr="00147E7B" w:rsidRDefault="00D73892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organizačné zabezpečenie aktivít; </w:t>
      </w:r>
    </w:p>
    <w:p w:rsidR="003D2519" w:rsidRPr="00147E7B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zabezpečenie BOZP; </w:t>
      </w:r>
    </w:p>
    <w:p w:rsidR="003D2519" w:rsidRPr="00147E7B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zabezpečenie hygieny (upratovanie, čistenie a pod.); </w:t>
      </w:r>
    </w:p>
    <w:p w:rsidR="003D2519" w:rsidRPr="00147E7B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opravy a údržbu majetku využívaného pre účely projektu; </w:t>
      </w:r>
    </w:p>
    <w:p w:rsidR="003D2519" w:rsidRPr="00147E7B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vedenie vozidla využívaného personálom zabezpečujúcim vyššie uvedené práce; </w:t>
      </w:r>
    </w:p>
    <w:p w:rsidR="003D2519" w:rsidRPr="00147E7B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>kontrola a odborný dohľad;</w:t>
      </w:r>
    </w:p>
    <w:p w:rsidR="00BF7CD1" w:rsidRDefault="00BF7CD1" w:rsidP="008B1826">
      <w:pPr>
        <w:pStyle w:val="Default"/>
        <w:spacing w:line="276" w:lineRule="auto"/>
        <w:jc w:val="both"/>
      </w:pPr>
    </w:p>
    <w:p w:rsidR="00BF7CD1" w:rsidRDefault="00BF7CD1" w:rsidP="008B1826">
      <w:pPr>
        <w:pStyle w:val="Default"/>
        <w:numPr>
          <w:ilvl w:val="0"/>
          <w:numId w:val="11"/>
        </w:numPr>
        <w:spacing w:line="276" w:lineRule="auto"/>
        <w:jc w:val="both"/>
      </w:pPr>
      <w:r>
        <w:t xml:space="preserve">aktivity, ktoré zabezpečuje personál </w:t>
      </w:r>
      <w:r w:rsidR="00E023A8" w:rsidRPr="00E023A8">
        <w:t>R</w:t>
      </w:r>
      <w:r w:rsidR="00284175">
        <w:t>A</w:t>
      </w:r>
      <w:r w:rsidR="00E023A8" w:rsidRPr="00E023A8">
        <w:t xml:space="preserve"> NSRV</w:t>
      </w:r>
    </w:p>
    <w:p w:rsidR="00BF7CD1" w:rsidRDefault="00BF7CD1" w:rsidP="008B1826">
      <w:pPr>
        <w:pStyle w:val="Default"/>
        <w:spacing w:line="276" w:lineRule="auto"/>
        <w:jc w:val="both"/>
      </w:pPr>
    </w:p>
    <w:p w:rsidR="0099767F" w:rsidRPr="00D73892" w:rsidRDefault="00B932BC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manažé</w:t>
      </w:r>
      <w:r w:rsidR="0099767F" w:rsidRPr="00D73892">
        <w:rPr>
          <w:rFonts w:ascii="Times New Roman" w:hAnsi="Times New Roman" w:cs="Times New Roman"/>
          <w:sz w:val="24"/>
          <w:szCs w:val="24"/>
        </w:rPr>
        <w:t>rsk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767F" w:rsidRPr="00D73892">
        <w:rPr>
          <w:rFonts w:ascii="Times New Roman" w:hAnsi="Times New Roman" w:cs="Times New Roman"/>
          <w:sz w:val="24"/>
          <w:szCs w:val="24"/>
        </w:rPr>
        <w:t xml:space="preserve"> činnosti (vypracovanie rozpočtu, zostavenie programu, pozvánky, dojednanie lektorov, priestorov, subdodávok, spropagovanie podujatia, otvorenie, uvedenie, vedenie a moderovanie podujatia, výber účastníkov, koordinácia a informovanie účastníkov, vyhodnotenie dotazníkov, spracovanie správy a fotodokumentácie),</w:t>
      </w:r>
    </w:p>
    <w:p w:rsidR="0099767F" w:rsidRPr="00D73892" w:rsidRDefault="0099767F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892">
        <w:rPr>
          <w:rFonts w:ascii="Times New Roman" w:hAnsi="Times New Roman" w:cs="Times New Roman"/>
          <w:sz w:val="24"/>
          <w:szCs w:val="24"/>
        </w:rPr>
        <w:t xml:space="preserve">organizačno-administratívne činnosti (výberové konania, objednávky, zmluvy, dohody, prihlásenie do poisťovní,  príprava dotazníkov, rozposlanie pozvánok a prihlášok, registrácia účastníkov,  prezenčné listiny, publicita počas aktivity, distribúcia materiálov, evidencia príjemcov,  informovanie na webe, prezencia na podujatí, zverejnenie pozvánky a správy na webe, faktúrach - dodacie listy, zúčtovanie nákladov – účtovníctvo, vyúčtovanie podujatia, zaslanie vyúčtovania a správy na CJ), 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poskytovanie poradenstva, informácií v oblasti rozvoja vidieka a poľnohospodárstva vrátane lesného hospodárstva pre širokú verejnosť v regiónoch 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 informácií o potrebách jednotlivých regiónov na vzdelávacie a informačné aktivity na regionálnej úrovni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 informácií potrebných k hodnoteniu PRV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zber  informácií, fotiek a videí  o projektoch financovaných z PRV - Príklady dobrej praxe 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 podkladov pre vydávanie tlačovín a Spravodajcu NSRV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poskytovanie informácií pre beneficientov PRV prostredníctvom zriadenej web stránky 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slúžiť ako kontaktný bod v rámci aktivít iniciatívy LEADER a CLLD pre MAS a pre všetkých vidieckych partnerov a ich potenciálnych žiadateľov  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zber informácií o potrebách MAS 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realizácia dotazníkových prieskumov a podkladov k analýzam na základe požiadavky RO,  resp. ENRD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vypracovanie analýz a prieskumov na základe požiadaviek RO, resp. ENRD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spolupráca s inými formálnymi a neformálnymi sieťami/centrami na národnej alebo regionálnej úrovni prispievajúcich k implementácii  EŠIF fondov v oblasti politiky rozvoja vidieka SR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Spolupráca s riadiacim orgánom pre PRV , Európskou sieťou pre rozvoj vidieka a sieťou Európskeho Inovačného Partnerstva (EIP) 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spolupráca v oblasti vytvárania sietí miestnych akčných skupín a najmä technická pomoc pre spoluprácu medzi územnými celkami a pre nadnárodnú spoluprácu, uľahčenie spolupráce medzi miestnymi akčnými skupinami a vyhľadávanie partnerov pre opatrenie Spolupráca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spolupráca a výmena informácií s ostatnými národnými vidieckymi sieťami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podpora inovácií v poľnohospodárstve, výrobe potravín, lesnom hospodárstve a vo vidieckych oblastiach, zahŕňajúca tiež prenos informácií z aktivít siete EIP</w:t>
      </w:r>
    </w:p>
    <w:p w:rsidR="00BF7CD1" w:rsidRPr="00BF7CD1" w:rsidRDefault="00BF7CD1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zber, monitoring, hodnotenie a spolupráca s platobnou agentúrou na údajoch v oblasti rozvoja vidieka a Leader/CLLD pre potreby riadiaceho orgánu</w:t>
      </w:r>
    </w:p>
    <w:p w:rsidR="00710524" w:rsidRDefault="00710524" w:rsidP="008B1826">
      <w:pPr>
        <w:pStyle w:val="Default"/>
        <w:spacing w:line="276" w:lineRule="auto"/>
        <w:jc w:val="both"/>
        <w:rPr>
          <w:sz w:val="23"/>
          <w:szCs w:val="23"/>
        </w:rPr>
      </w:pPr>
    </w:p>
    <w:p w:rsidR="00D3434A" w:rsidRPr="0059690C" w:rsidRDefault="003B1F1D" w:rsidP="008B1826">
      <w:pPr>
        <w:pStyle w:val="Default"/>
        <w:spacing w:after="147" w:line="276" w:lineRule="auto"/>
        <w:jc w:val="both"/>
        <w:rPr>
          <w:i/>
          <w:color w:val="auto"/>
        </w:rPr>
      </w:pPr>
      <w:r w:rsidRPr="00147E7B">
        <w:rPr>
          <w:color w:val="auto"/>
          <w:sz w:val="23"/>
          <w:szCs w:val="23"/>
        </w:rPr>
        <w:t>2</w:t>
      </w:r>
      <w:r w:rsidRPr="0059690C">
        <w:rPr>
          <w:color w:val="auto"/>
        </w:rPr>
        <w:t xml:space="preserve">) tovary a služby, ktoré súvisia s administratívnym a technickým zabezpečením </w:t>
      </w:r>
      <w:r w:rsidR="00E4071D" w:rsidRPr="0059690C">
        <w:rPr>
          <w:color w:val="auto"/>
        </w:rPr>
        <w:t>chodu</w:t>
      </w:r>
      <w:r w:rsidR="004C4E73" w:rsidRPr="0059690C">
        <w:rPr>
          <w:color w:val="auto"/>
        </w:rPr>
        <w:t xml:space="preserve"> </w:t>
      </w:r>
      <w:r w:rsidR="00E4071D" w:rsidRPr="0059690C">
        <w:rPr>
          <w:color w:val="auto"/>
        </w:rPr>
        <w:t>organizácie</w:t>
      </w:r>
      <w:r w:rsidRPr="0059690C">
        <w:rPr>
          <w:color w:val="auto"/>
        </w:rPr>
        <w:t xml:space="preserve"> vrátane informovania a</w:t>
      </w:r>
      <w:r w:rsidR="007F0AE7">
        <w:rPr>
          <w:color w:val="auto"/>
        </w:rPr>
        <w:t> </w:t>
      </w:r>
      <w:r w:rsidRPr="006D3CC0">
        <w:rPr>
          <w:color w:val="auto"/>
        </w:rPr>
        <w:t>publicity</w:t>
      </w:r>
      <w:r w:rsidR="007F0AE7" w:rsidRPr="006D3CC0">
        <w:rPr>
          <w:color w:val="auto"/>
        </w:rPr>
        <w:t xml:space="preserve"> (% paušálna sadzba):</w:t>
      </w:r>
    </w:p>
    <w:p w:rsidR="003D2519" w:rsidRPr="0059690C" w:rsidRDefault="003D2519" w:rsidP="008B1826">
      <w:pPr>
        <w:pStyle w:val="Default"/>
        <w:spacing w:line="276" w:lineRule="auto"/>
        <w:jc w:val="both"/>
      </w:pPr>
    </w:p>
    <w:p w:rsidR="003D2519" w:rsidRPr="0059690C" w:rsidRDefault="003D2519" w:rsidP="008B1826">
      <w:pPr>
        <w:pStyle w:val="Default"/>
        <w:numPr>
          <w:ilvl w:val="0"/>
          <w:numId w:val="12"/>
        </w:numPr>
        <w:spacing w:after="147" w:line="276" w:lineRule="auto"/>
        <w:jc w:val="both"/>
      </w:pPr>
      <w:r w:rsidRPr="0059690C">
        <w:t>výdavky</w:t>
      </w:r>
      <w:r w:rsidR="003B1F1D" w:rsidRPr="0059690C">
        <w:t xml:space="preserve"> </w:t>
      </w:r>
      <w:r w:rsidRPr="0059690C">
        <w:t xml:space="preserve"> na obstaranie a vybaveni</w:t>
      </w:r>
      <w:r w:rsidR="00133B24" w:rsidRPr="0059690C">
        <w:t>e</w:t>
      </w:r>
      <w:r w:rsidRPr="0059690C">
        <w:t xml:space="preserve"> bežného zariadenia kancelárie (stôl, stoličky, skrinky, </w:t>
      </w:r>
      <w:r w:rsidR="00133B24" w:rsidRPr="0059690C">
        <w:t>IKT</w:t>
      </w:r>
      <w:r w:rsidRPr="0059690C">
        <w:t xml:space="preserve"> a pod.), </w:t>
      </w:r>
      <w:r w:rsidR="00D73892" w:rsidRPr="00D73892">
        <w:t>výdavky na obstaranie spotrebného tovaru a prevádzkového materiálu (papier, písacie potreby, čistiace prostriedky a pod.),</w:t>
      </w:r>
    </w:p>
    <w:p w:rsidR="003D2519" w:rsidRPr="0059690C" w:rsidRDefault="00E4071D" w:rsidP="008B1826">
      <w:pPr>
        <w:pStyle w:val="Default"/>
        <w:numPr>
          <w:ilvl w:val="0"/>
          <w:numId w:val="12"/>
        </w:numPr>
        <w:spacing w:line="276" w:lineRule="auto"/>
        <w:jc w:val="both"/>
      </w:pPr>
      <w:r w:rsidRPr="0059690C">
        <w:t>ostatné výdavky:</w:t>
      </w:r>
    </w:p>
    <w:p w:rsidR="004C4E73" w:rsidRDefault="004C4E73" w:rsidP="008B1826">
      <w:pPr>
        <w:pStyle w:val="Default"/>
        <w:spacing w:line="276" w:lineRule="auto"/>
        <w:ind w:left="360"/>
        <w:jc w:val="both"/>
        <w:rPr>
          <w:sz w:val="23"/>
          <w:szCs w:val="23"/>
        </w:rPr>
      </w:pPr>
    </w:p>
    <w:p w:rsidR="00147E7B" w:rsidRPr="00D73892" w:rsidRDefault="00D73892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prenájom kancelárií</w:t>
      </w:r>
      <w:r w:rsidR="000C0E08">
        <w:rPr>
          <w:rFonts w:ascii="Times New Roman" w:hAnsi="Times New Roman" w:cs="Times New Roman"/>
          <w:color w:val="000000"/>
          <w:sz w:val="24"/>
          <w:szCs w:val="24"/>
        </w:rPr>
        <w:t>, resp. prevádzka vlastných priestorov pre zamestnancov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519" w:rsidRPr="00D73892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prenájom</w:t>
      </w:r>
      <w:r w:rsidR="00545C08">
        <w:rPr>
          <w:rFonts w:ascii="Times New Roman" w:hAnsi="Times New Roman" w:cs="Times New Roman"/>
          <w:color w:val="000000"/>
          <w:sz w:val="24"/>
          <w:szCs w:val="24"/>
        </w:rPr>
        <w:t>/kúpa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zariadenia a vybavenia, ktorý je využívaný na účely </w:t>
      </w:r>
      <w:r w:rsidR="00BF7CD1"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plnenia </w:t>
      </w:r>
      <w:r w:rsidR="00D73892">
        <w:rPr>
          <w:rFonts w:ascii="Times New Roman" w:hAnsi="Times New Roman" w:cs="Times New Roman"/>
          <w:color w:val="000000"/>
          <w:sz w:val="24"/>
          <w:szCs w:val="24"/>
        </w:rPr>
        <w:t>pracovného programu;</w:t>
      </w:r>
    </w:p>
    <w:p w:rsidR="003D2519" w:rsidRPr="00D73892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lastRenderedPageBreak/>
        <w:t>všetky výdavky súvisiace s publicitou a informovanosťou, napr. propagačné predmety a letáky, tlačové konferencie (vrátane občerstvenia, prenájmu priestorov a pod.), publikovaním článkov, televíznych a rozhlasových relácií a pod.</w:t>
      </w:r>
      <w:r w:rsidR="003B1F1D" w:rsidRPr="00D73892">
        <w:rPr>
          <w:rFonts w:ascii="Times New Roman" w:hAnsi="Times New Roman" w:cs="Times New Roman"/>
          <w:color w:val="000000"/>
          <w:sz w:val="24"/>
          <w:szCs w:val="24"/>
        </w:rPr>
        <w:t>, dodatočná tlač loga EPFRV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na materiáloch</w:t>
      </w:r>
      <w:r w:rsidR="00D3434A" w:rsidRPr="00D7389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519" w:rsidRPr="00D73892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poštovné, telekomunikačné poplatky; </w:t>
      </w:r>
    </w:p>
    <w:p w:rsidR="003D2519" w:rsidRPr="00D73892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ceniny (všetky poštové známky a kolky, stravné pouk</w:t>
      </w:r>
      <w:r w:rsidR="00D73892">
        <w:rPr>
          <w:rFonts w:ascii="Times New Roman" w:hAnsi="Times New Roman" w:cs="Times New Roman"/>
          <w:color w:val="000000"/>
          <w:sz w:val="24"/>
          <w:szCs w:val="24"/>
        </w:rPr>
        <w:t>ážky pre vlastných zamestnancov);</w:t>
      </w:r>
    </w:p>
    <w:p w:rsidR="003D2519" w:rsidRPr="00D73892" w:rsidRDefault="003D2519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cestovné náhrady pre vlastných zamestnancov</w:t>
      </w:r>
      <w:r w:rsidR="00D3434A" w:rsidRPr="00D7389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5F7" w:rsidRPr="00D73892" w:rsidRDefault="006F35F7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výdavky na prevádzku vozidla využívaného pri vykonávaní riadenia, administrácie, publicity a informovanosti projektu a činností tu uvedených; </w:t>
      </w:r>
    </w:p>
    <w:p w:rsidR="006F35F7" w:rsidRPr="00D73892" w:rsidRDefault="006F35F7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výdavky na energie ako sú voda, plyn, elektrická energia a pod., v prípade využívania spoločných priestorov (chodby, schodištia, WC a pod. )</w:t>
      </w:r>
      <w:r w:rsidR="00D3434A" w:rsidRPr="00D7389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5F7" w:rsidRPr="00D73892" w:rsidRDefault="006F35F7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odpisy majetku</w:t>
      </w:r>
      <w:r w:rsidR="00D3434A" w:rsidRPr="00D7389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5F7" w:rsidRPr="00D73892" w:rsidRDefault="006F35F7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výdavky na úhradu napr. notárskych, správnych, bankových poplatkov a úrokov v súvislosti s realizáciou projektu; </w:t>
      </w:r>
    </w:p>
    <w:p w:rsidR="006F35F7" w:rsidRPr="00D73892" w:rsidRDefault="006F35F7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výdavky na poradenstvo (právne, daňové, účtovné a pod.); </w:t>
      </w:r>
    </w:p>
    <w:p w:rsidR="006F35F7" w:rsidRPr="00D73892" w:rsidRDefault="006F35F7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poistenie majetku; </w:t>
      </w:r>
    </w:p>
    <w:p w:rsidR="006F35F7" w:rsidRPr="00D73892" w:rsidRDefault="00D3434A" w:rsidP="008B182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správa informačných systémov;</w:t>
      </w:r>
    </w:p>
    <w:p w:rsidR="007F0AE7" w:rsidRDefault="007F0AE7" w:rsidP="004C4E73">
      <w:pPr>
        <w:pStyle w:val="Default"/>
        <w:jc w:val="both"/>
      </w:pPr>
    </w:p>
    <w:p w:rsidR="001673BF" w:rsidRPr="00D73892" w:rsidRDefault="001673BF" w:rsidP="008B182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F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Analýza vzorky </w:t>
      </w:r>
      <w:r w:rsidR="00133B24">
        <w:rPr>
          <w:rFonts w:ascii="Times New Roman" w:hAnsi="Times New Roman" w:cs="Times New Roman"/>
          <w:b/>
          <w:bCs/>
          <w:iCs/>
          <w:sz w:val="24"/>
          <w:szCs w:val="24"/>
        </w:rPr>
        <w:t>autori</w:t>
      </w:r>
      <w:r w:rsidR="00AA00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zovaných </w:t>
      </w:r>
      <w:proofErr w:type="spellStart"/>
      <w:r w:rsidR="00AA0060">
        <w:rPr>
          <w:rFonts w:ascii="Times New Roman" w:hAnsi="Times New Roman" w:cs="Times New Roman"/>
          <w:b/>
          <w:bCs/>
          <w:iCs/>
          <w:sz w:val="24"/>
          <w:szCs w:val="24"/>
        </w:rPr>
        <w:t>ŽoP</w:t>
      </w:r>
      <w:proofErr w:type="spellEnd"/>
      <w:r w:rsidR="00AA00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 rámci opatrenia</w:t>
      </w:r>
      <w:r w:rsidR="00133B24">
        <w:rPr>
          <w:rFonts w:ascii="Times New Roman" w:hAnsi="Times New Roman" w:cs="Times New Roman"/>
          <w:b/>
          <w:bCs/>
          <w:iCs/>
          <w:sz w:val="24"/>
          <w:szCs w:val="24"/>
        </w:rPr>
        <w:t> 5.2 z</w:t>
      </w:r>
      <w:r w:rsidRPr="009E2F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programovacieho </w:t>
      </w:r>
      <w:r w:rsidRPr="00D738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obdobia </w:t>
      </w:r>
      <w:r w:rsidR="00133B24" w:rsidRPr="00D73892">
        <w:rPr>
          <w:rFonts w:ascii="Times New Roman" w:hAnsi="Times New Roman" w:cs="Times New Roman"/>
          <w:b/>
          <w:bCs/>
          <w:iCs/>
          <w:sz w:val="24"/>
          <w:szCs w:val="24"/>
        </w:rPr>
        <w:t>PRV SR 2007 - 2013</w:t>
      </w:r>
      <w:r w:rsidRPr="00D7389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306A2" w:rsidRPr="00D73892" w:rsidRDefault="001673BF" w:rsidP="008B182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3892">
        <w:rPr>
          <w:rFonts w:ascii="Times New Roman" w:hAnsi="Times New Roman" w:cs="Times New Roman"/>
          <w:bCs/>
          <w:iCs/>
          <w:sz w:val="24"/>
          <w:szCs w:val="24"/>
        </w:rPr>
        <w:t xml:space="preserve">Celkový počet uzavretých zmlúv </w:t>
      </w:r>
    </w:p>
    <w:p w:rsidR="001673BF" w:rsidRPr="00D73892" w:rsidRDefault="000306A2" w:rsidP="008B1826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3892">
        <w:rPr>
          <w:rFonts w:ascii="Times New Roman" w:hAnsi="Times New Roman" w:cs="Times New Roman"/>
          <w:bCs/>
          <w:iCs/>
          <w:sz w:val="24"/>
          <w:szCs w:val="24"/>
        </w:rPr>
        <w:t xml:space="preserve">opatrenie </w:t>
      </w:r>
      <w:r w:rsidR="00E4071D" w:rsidRPr="00D73892">
        <w:rPr>
          <w:rFonts w:ascii="Times New Roman" w:hAnsi="Times New Roman" w:cs="Times New Roman"/>
          <w:bCs/>
          <w:iCs/>
          <w:sz w:val="24"/>
          <w:szCs w:val="24"/>
        </w:rPr>
        <w:t>5.2</w:t>
      </w:r>
      <w:r w:rsidRPr="00D7389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D738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</w:p>
    <w:p w:rsidR="00133B24" w:rsidRDefault="001673BF" w:rsidP="008B182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3892">
        <w:rPr>
          <w:rFonts w:ascii="Times New Roman" w:hAnsi="Times New Roman" w:cs="Times New Roman"/>
          <w:bCs/>
          <w:iCs/>
          <w:sz w:val="24"/>
          <w:szCs w:val="24"/>
        </w:rPr>
        <w:t>Skúmaná</w:t>
      </w:r>
      <w:r w:rsidRPr="009E2FF1">
        <w:rPr>
          <w:rFonts w:ascii="Times New Roman" w:hAnsi="Times New Roman" w:cs="Times New Roman"/>
          <w:bCs/>
          <w:iCs/>
          <w:sz w:val="24"/>
          <w:szCs w:val="24"/>
        </w:rPr>
        <w:t xml:space="preserve"> vzorka: </w:t>
      </w:r>
    </w:p>
    <w:p w:rsidR="00133B24" w:rsidRDefault="00133B24" w:rsidP="008B1826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06A2">
        <w:rPr>
          <w:rFonts w:ascii="Times New Roman" w:hAnsi="Times New Roman" w:cs="Times New Roman"/>
          <w:b/>
          <w:bCs/>
          <w:iCs/>
          <w:sz w:val="24"/>
          <w:szCs w:val="24"/>
        </w:rPr>
        <w:t>17</w:t>
      </w:r>
      <w:r w:rsidR="00E407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4071D">
        <w:rPr>
          <w:rFonts w:ascii="Times New Roman" w:hAnsi="Times New Roman" w:cs="Times New Roman"/>
          <w:bCs/>
          <w:iCs/>
          <w:sz w:val="24"/>
          <w:szCs w:val="24"/>
        </w:rPr>
        <w:t>Žiadostí o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E4071D">
        <w:rPr>
          <w:rFonts w:ascii="Times New Roman" w:hAnsi="Times New Roman" w:cs="Times New Roman"/>
          <w:bCs/>
          <w:iCs/>
          <w:sz w:val="24"/>
          <w:szCs w:val="24"/>
        </w:rPr>
        <w:t>platbu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 opatrenia 5.2 </w:t>
      </w:r>
      <w:r w:rsidR="000C0E08">
        <w:rPr>
          <w:rFonts w:ascii="Times New Roman" w:hAnsi="Times New Roman" w:cs="Times New Roman"/>
          <w:bCs/>
          <w:iCs/>
          <w:sz w:val="24"/>
          <w:szCs w:val="24"/>
        </w:rPr>
        <w:t>z obdobia 2010 - 2013</w:t>
      </w:r>
    </w:p>
    <w:p w:rsidR="00094B3C" w:rsidRPr="00B932BC" w:rsidRDefault="000306A2" w:rsidP="008B182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Priemerná mzda zamestnanca (administratívny pracovník, projektový manažér a pod.) </w:t>
      </w:r>
      <w:r w:rsidR="00AA0060">
        <w:rPr>
          <w:rFonts w:ascii="Times New Roman" w:hAnsi="Times New Roman" w:cs="Times New Roman"/>
          <w:bCs/>
          <w:iCs/>
          <w:sz w:val="24"/>
          <w:szCs w:val="24"/>
        </w:rPr>
        <w:t xml:space="preserve">predstavuje </w:t>
      </w:r>
      <w:r w:rsidRPr="000306A2">
        <w:rPr>
          <w:rFonts w:ascii="Times New Roman" w:hAnsi="Times New Roman" w:cs="Times New Roman"/>
          <w:b/>
          <w:bCs/>
          <w:iCs/>
          <w:sz w:val="24"/>
          <w:szCs w:val="24"/>
        </w:rPr>
        <w:t>798,49 EUR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mesiac (priemer za roky 201</w:t>
      </w:r>
      <w:r w:rsidR="00AA0060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2013)</w:t>
      </w:r>
      <w:r w:rsidR="001B1BDC">
        <w:rPr>
          <w:rFonts w:ascii="Times New Roman" w:hAnsi="Times New Roman" w:cs="Times New Roman"/>
          <w:bCs/>
          <w:iCs/>
          <w:sz w:val="24"/>
          <w:szCs w:val="24"/>
        </w:rPr>
        <w:t xml:space="preserve"> – toto nie je relevantný ukazovateľ, nakoľko analyzovali sa iba mzdy pre hostiteľský orgán (táto suma predstavuje iba priemer sumy refundovanej v rámci Žiadostí o platbu a neodráža skutočne vyplatené mzdy zamestnancom, nakoľko tieto náklady boli v pomernej čiastke refundované z viacerých zdrojov).</w:t>
      </w:r>
      <w:r w:rsidR="00166A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A0060">
        <w:rPr>
          <w:rFonts w:ascii="Times New Roman" w:hAnsi="Times New Roman" w:cs="Times New Roman"/>
          <w:bCs/>
          <w:iCs/>
          <w:sz w:val="24"/>
          <w:szCs w:val="24"/>
        </w:rPr>
        <w:t>Okrem toho sa v roku 2013 zmeny v rámci Zákonníka práce prejavili vo zvýšených nákladoch na cenu práce pri Dohodách o vykonaní práce (rozdiel oproti rokom 2010 – 2012, kedy sa odvody z Dohôd o vykonaní práce neplatili do SP</w:t>
      </w:r>
      <w:r w:rsidR="00AA0060" w:rsidRPr="00B932BC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="00094B3C" w:rsidRPr="00B932BC">
        <w:rPr>
          <w:rFonts w:ascii="Times New Roman" w:hAnsi="Times New Roman" w:cs="Times New Roman"/>
          <w:bCs/>
          <w:iCs/>
          <w:sz w:val="24"/>
          <w:szCs w:val="24"/>
        </w:rPr>
        <w:t xml:space="preserve">V rámci analýzy sme použili priemernú hodinovú mzdu na základe prieskumu trhu (vrátane odvodov zamestnanca aj zamestnávateľa) s prihliadnutím na špecifickosť tejto pracovnej činnosti, ktorá si okrem odbornej praxe vyžaduje aj aktívnu znalosť niektorého cudzieho jazyka (anglického alebo nemeckého) a zároveň by mala byť uprednostňovaná úroveň vzdelania - vysokoškolské II. Stupňa. </w:t>
      </w:r>
    </w:p>
    <w:p w:rsidR="00582687" w:rsidRDefault="00582687" w:rsidP="008B182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Priemerná suma na stravné a </w:t>
      </w:r>
      <w:r w:rsidR="00622A9F">
        <w:rPr>
          <w:rFonts w:ascii="Times New Roman" w:hAnsi="Times New Roman" w:cs="Times New Roman"/>
          <w:bCs/>
          <w:iCs/>
          <w:sz w:val="24"/>
          <w:szCs w:val="24"/>
        </w:rPr>
        <w:t>cestovné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52B9">
        <w:rPr>
          <w:rFonts w:ascii="Times New Roman" w:hAnsi="Times New Roman" w:cs="Times New Roman"/>
          <w:bCs/>
          <w:iCs/>
          <w:sz w:val="24"/>
          <w:szCs w:val="24"/>
        </w:rPr>
        <w:t>zamestnancov</w:t>
      </w:r>
      <w:r w:rsidR="00990079">
        <w:rPr>
          <w:rFonts w:ascii="Times New Roman" w:hAnsi="Times New Roman" w:cs="Times New Roman"/>
          <w:bCs/>
          <w:iCs/>
          <w:sz w:val="24"/>
          <w:szCs w:val="24"/>
        </w:rPr>
        <w:t xml:space="preserve"> predstavuje</w:t>
      </w:r>
      <w:r w:rsidR="005452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2A9F">
        <w:rPr>
          <w:rFonts w:ascii="Times New Roman" w:hAnsi="Times New Roman" w:cs="Times New Roman"/>
          <w:b/>
          <w:bCs/>
          <w:iCs/>
          <w:sz w:val="24"/>
          <w:szCs w:val="24"/>
        </w:rPr>
        <w:t>104,27 EUR</w:t>
      </w:r>
      <w:r w:rsidR="005452B9">
        <w:rPr>
          <w:rFonts w:ascii="Times New Roman" w:hAnsi="Times New Roman" w:cs="Times New Roman"/>
          <w:b/>
          <w:bCs/>
          <w:iCs/>
          <w:sz w:val="24"/>
          <w:szCs w:val="24"/>
        </w:rPr>
        <w:t>/mesiac/</w:t>
      </w:r>
      <w:r w:rsidR="005452B9" w:rsidRPr="00B932BC">
        <w:rPr>
          <w:rFonts w:ascii="Times New Roman" w:hAnsi="Times New Roman" w:cs="Times New Roman"/>
          <w:b/>
          <w:bCs/>
          <w:iCs/>
          <w:sz w:val="24"/>
          <w:szCs w:val="24"/>
        </w:rPr>
        <w:t>organizácia</w:t>
      </w:r>
      <w:r w:rsidR="00094B3C" w:rsidRPr="00B932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94B3C" w:rsidRPr="00B932BC">
        <w:rPr>
          <w:rFonts w:ascii="Times New Roman" w:hAnsi="Times New Roman" w:cs="Times New Roman"/>
          <w:bCs/>
          <w:iCs/>
          <w:sz w:val="24"/>
          <w:szCs w:val="24"/>
        </w:rPr>
        <w:t xml:space="preserve">(Cestovné náhrady personálu </w:t>
      </w:r>
      <w:r w:rsidR="00AA0060" w:rsidRPr="00B932BC">
        <w:rPr>
          <w:rFonts w:ascii="Times New Roman" w:hAnsi="Times New Roman" w:cs="Times New Roman"/>
          <w:bCs/>
          <w:iCs/>
          <w:sz w:val="24"/>
          <w:szCs w:val="24"/>
        </w:rPr>
        <w:t xml:space="preserve">sú </w:t>
      </w:r>
      <w:r w:rsidR="00094B3C" w:rsidRPr="00B932BC">
        <w:rPr>
          <w:rFonts w:ascii="Times New Roman" w:hAnsi="Times New Roman" w:cs="Times New Roman"/>
          <w:bCs/>
          <w:iCs/>
          <w:sz w:val="24"/>
          <w:szCs w:val="24"/>
        </w:rPr>
        <w:t>spojené s plne</w:t>
      </w:r>
      <w:r w:rsidR="002B7B42" w:rsidRPr="00B932BC">
        <w:rPr>
          <w:rFonts w:ascii="Times New Roman" w:hAnsi="Times New Roman" w:cs="Times New Roman"/>
          <w:bCs/>
          <w:iCs/>
          <w:sz w:val="24"/>
          <w:szCs w:val="24"/>
        </w:rPr>
        <w:t>ním aktivít a riadením projektu)</w:t>
      </w:r>
    </w:p>
    <w:p w:rsidR="000306A2" w:rsidRPr="00582687" w:rsidRDefault="00582687" w:rsidP="008B182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Priemerná suma prenájmu kancelárskych priestorov</w:t>
      </w:r>
      <w:r w:rsidR="00990079">
        <w:rPr>
          <w:rFonts w:ascii="Times New Roman" w:hAnsi="Times New Roman" w:cs="Times New Roman"/>
          <w:bCs/>
          <w:iCs/>
          <w:sz w:val="24"/>
          <w:szCs w:val="24"/>
        </w:rPr>
        <w:t xml:space="preserve"> predstavuje</w:t>
      </w:r>
      <w:r w:rsidRPr="005826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26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754,57 EUR/mesiac </w:t>
      </w:r>
      <w:r>
        <w:rPr>
          <w:rFonts w:ascii="Times New Roman" w:hAnsi="Times New Roman" w:cs="Times New Roman"/>
          <w:bCs/>
          <w:iCs/>
          <w:sz w:val="24"/>
          <w:szCs w:val="24"/>
        </w:rPr>
        <w:t>(priemer za roky 201</w:t>
      </w:r>
      <w:r w:rsidR="00F73675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2013)</w:t>
      </w:r>
    </w:p>
    <w:p w:rsidR="000306A2" w:rsidRDefault="00622A9F" w:rsidP="008B182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IKT</w:t>
      </w:r>
      <w:r w:rsidR="0059690C">
        <w:rPr>
          <w:rFonts w:ascii="Times New Roman" w:hAnsi="Times New Roman" w:cs="Times New Roman"/>
          <w:bCs/>
          <w:iCs/>
          <w:sz w:val="24"/>
          <w:szCs w:val="24"/>
        </w:rPr>
        <w:t xml:space="preserve"> (nákup telefónov a ich prevádzka, nákup IKT techniky, licencie</w:t>
      </w:r>
      <w:r w:rsidR="0088738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8738D" w:rsidRPr="0088738D">
        <w:rPr>
          <w:rFonts w:ascii="Times New Roman" w:hAnsi="Times New Roman" w:cs="Times New Roman"/>
          <w:bCs/>
          <w:iCs/>
          <w:sz w:val="24"/>
          <w:szCs w:val="24"/>
        </w:rPr>
        <w:t>servisné práce</w:t>
      </w:r>
      <w:r w:rsidR="0088738D">
        <w:rPr>
          <w:rFonts w:ascii="Times New Roman" w:hAnsi="Times New Roman" w:cs="Times New Roman"/>
          <w:bCs/>
          <w:iCs/>
          <w:sz w:val="24"/>
          <w:szCs w:val="24"/>
        </w:rPr>
        <w:t>, údržba softwaru, internet</w:t>
      </w:r>
      <w:r w:rsidR="0059690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73892">
        <w:rPr>
          <w:rFonts w:ascii="Times New Roman" w:hAnsi="Times New Roman" w:cs="Times New Roman"/>
          <w:bCs/>
          <w:iCs/>
          <w:sz w:val="24"/>
          <w:szCs w:val="24"/>
        </w:rPr>
        <w:t xml:space="preserve"> predstavuje</w:t>
      </w:r>
      <w:r w:rsidR="005969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738D">
        <w:rPr>
          <w:rFonts w:ascii="Times New Roman" w:hAnsi="Times New Roman" w:cs="Times New Roman"/>
          <w:b/>
          <w:bCs/>
          <w:iCs/>
          <w:sz w:val="24"/>
          <w:szCs w:val="24"/>
        </w:rPr>
        <w:t>592,54</w:t>
      </w:r>
      <w:r w:rsidR="0059690C" w:rsidRPr="005969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EUR/mesiac/organizácia</w:t>
      </w:r>
    </w:p>
    <w:p w:rsidR="00622A9F" w:rsidRPr="0088738D" w:rsidRDefault="00622A9F" w:rsidP="008B182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738D">
        <w:rPr>
          <w:rFonts w:ascii="Times New Roman" w:hAnsi="Times New Roman" w:cs="Times New Roman"/>
          <w:bCs/>
          <w:iCs/>
          <w:sz w:val="24"/>
          <w:szCs w:val="24"/>
        </w:rPr>
        <w:t>nákupu kancelárskych potrieb, príp. nábytku</w:t>
      </w:r>
      <w:r w:rsidR="00D73892">
        <w:rPr>
          <w:rFonts w:ascii="Times New Roman" w:hAnsi="Times New Roman" w:cs="Times New Roman"/>
          <w:bCs/>
          <w:iCs/>
          <w:sz w:val="24"/>
          <w:szCs w:val="24"/>
        </w:rPr>
        <w:t xml:space="preserve"> predstavuje</w:t>
      </w:r>
      <w:r w:rsidR="008873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4498">
        <w:rPr>
          <w:rFonts w:ascii="Times New Roman" w:hAnsi="Times New Roman" w:cs="Times New Roman"/>
          <w:b/>
          <w:bCs/>
          <w:iCs/>
          <w:sz w:val="24"/>
          <w:szCs w:val="24"/>
        </w:rPr>
        <w:t>96,00</w:t>
      </w:r>
      <w:r w:rsidR="008873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8738D" w:rsidRPr="0059690C">
        <w:rPr>
          <w:rFonts w:ascii="Times New Roman" w:hAnsi="Times New Roman" w:cs="Times New Roman"/>
          <w:b/>
          <w:bCs/>
          <w:iCs/>
          <w:sz w:val="24"/>
          <w:szCs w:val="24"/>
        </w:rPr>
        <w:t>EUR/mesiac/organizácia</w:t>
      </w:r>
    </w:p>
    <w:p w:rsidR="0088738D" w:rsidRDefault="0088738D" w:rsidP="008B182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nákupu/dodávky ostatných tovarov a služieb spojených s prevádzkou (poštovné, opravy, poistenie majetku</w:t>
      </w:r>
      <w:r w:rsidR="00D73892">
        <w:rPr>
          <w:rFonts w:ascii="Times New Roman" w:hAnsi="Times New Roman" w:cs="Times New Roman"/>
          <w:bCs/>
          <w:iCs/>
          <w:sz w:val="24"/>
          <w:szCs w:val="24"/>
        </w:rPr>
        <w:t>, BOZP a pod.) predstavuje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73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45,03 </w:t>
      </w:r>
      <w:r w:rsidRPr="0059690C">
        <w:rPr>
          <w:rFonts w:ascii="Times New Roman" w:hAnsi="Times New Roman" w:cs="Times New Roman"/>
          <w:b/>
          <w:bCs/>
          <w:iCs/>
          <w:sz w:val="24"/>
          <w:szCs w:val="24"/>
        </w:rPr>
        <w:t>EUR/mesiac/organizácia</w:t>
      </w:r>
    </w:p>
    <w:p w:rsidR="00F24EF2" w:rsidRDefault="00F24EF2" w:rsidP="008B1826">
      <w:pPr>
        <w:ind w:left="2832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2687" w:rsidRPr="00582687" w:rsidRDefault="00582687" w:rsidP="008B1826">
      <w:pPr>
        <w:ind w:left="2832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/>
          <w:bCs/>
          <w:iCs/>
          <w:sz w:val="24"/>
          <w:szCs w:val="24"/>
        </w:rPr>
        <w:t>Prieskum trhu:</w:t>
      </w:r>
    </w:p>
    <w:p w:rsidR="0029692F" w:rsidRPr="0029692F" w:rsidRDefault="0029692F" w:rsidP="008B182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92F">
        <w:rPr>
          <w:rFonts w:ascii="Times New Roman" w:hAnsi="Times New Roman" w:cs="Times New Roman"/>
          <w:bCs/>
          <w:iCs/>
          <w:sz w:val="24"/>
          <w:szCs w:val="24"/>
        </w:rPr>
        <w:t>Priemerná mesačná mzda uverejnená Štatistickým úradom SR za 2.Q 2014 v oblasti verejnej správy predstavuje 1 036,00 EUR, celkové mzdové náklady zamestnávateľa na zamestnanca predstavujú sumu 1400,66 EUR/mesiac</w:t>
      </w:r>
    </w:p>
    <w:p w:rsidR="0029692F" w:rsidRPr="0029692F" w:rsidRDefault="0029692F" w:rsidP="008B182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92F">
        <w:rPr>
          <w:rFonts w:ascii="Times New Roman" w:hAnsi="Times New Roman" w:cs="Times New Roman"/>
          <w:bCs/>
          <w:iCs/>
          <w:sz w:val="24"/>
          <w:szCs w:val="24"/>
        </w:rPr>
        <w:t>Priemerná mesačná mzda uverejnená Štatistickým úradom SR za 2.Q 2014 v oblasti administratívnych služieb predstavuje 836,00 EUR/mesiac</w:t>
      </w:r>
    </w:p>
    <w:p w:rsidR="0029692F" w:rsidRPr="0029692F" w:rsidRDefault="0029692F" w:rsidP="008B1826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92F">
        <w:rPr>
          <w:rFonts w:ascii="Times New Roman" w:hAnsi="Times New Roman" w:cs="Times New Roman"/>
          <w:bCs/>
          <w:iCs/>
          <w:sz w:val="24"/>
          <w:szCs w:val="24"/>
        </w:rPr>
        <w:t>Celková cena práce a čistá mzda závisia od uplatnenia si daňového bonusu na dieťa, odvodov do 3.piliera a pod.</w:t>
      </w:r>
    </w:p>
    <w:p w:rsidR="00F73675" w:rsidRPr="00B932BC" w:rsidRDefault="00F73675" w:rsidP="008B1826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>Pozícia zamestnanca v R</w:t>
      </w:r>
      <w:r w:rsidR="00284175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B932BC">
        <w:rPr>
          <w:rFonts w:ascii="Times New Roman" w:hAnsi="Times New Roman" w:cs="Times New Roman"/>
          <w:bCs/>
          <w:iCs/>
          <w:sz w:val="24"/>
          <w:szCs w:val="24"/>
        </w:rPr>
        <w:t xml:space="preserve"> NSRV si okrem odbornej praxe vyžaduje aj aktívnu znalosť niektorého cudzieho jazyka (anglického alebo nemeckého). </w:t>
      </w:r>
    </w:p>
    <w:p w:rsidR="00F73675" w:rsidRPr="00B932BC" w:rsidRDefault="00F73675" w:rsidP="008B1826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>Typické činnosti vykonávané na tejto pozícii:</w:t>
      </w:r>
    </w:p>
    <w:p w:rsidR="00F73675" w:rsidRPr="00B932BC" w:rsidRDefault="00F73675" w:rsidP="008B1826">
      <w:pPr>
        <w:pStyle w:val="Odsekzoznamu"/>
        <w:numPr>
          <w:ilvl w:val="1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 xml:space="preserve">Zodpovedanie za riadenie aktivít od ich začiatku až po koniec; </w:t>
      </w:r>
    </w:p>
    <w:p w:rsidR="00F73675" w:rsidRPr="00B932BC" w:rsidRDefault="00F73675" w:rsidP="008B1826">
      <w:pPr>
        <w:pStyle w:val="Odsekzoznamu"/>
        <w:numPr>
          <w:ilvl w:val="1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>Definovanie procesov k dosiahnutiu cieľov na základe požiadaviek NSRV SR, riadiaceho orgánu a pod.;</w:t>
      </w:r>
    </w:p>
    <w:p w:rsidR="00F73675" w:rsidRPr="00B932BC" w:rsidRDefault="00F73675" w:rsidP="008B1826">
      <w:pPr>
        <w:pStyle w:val="Odsekzoznamu"/>
        <w:numPr>
          <w:ilvl w:val="1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>Vypracovávanie detailného harmonogramu prác;</w:t>
      </w:r>
    </w:p>
    <w:p w:rsidR="00F73675" w:rsidRPr="00B932BC" w:rsidRDefault="00F73675" w:rsidP="008B1826">
      <w:pPr>
        <w:pStyle w:val="Odsekzoznamu"/>
        <w:numPr>
          <w:ilvl w:val="1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>Riadenie, koordinovanie a motivovanie členov projektového tímu, resp. účastníkov na aktivitách;</w:t>
      </w:r>
    </w:p>
    <w:p w:rsidR="00F73675" w:rsidRPr="00B932BC" w:rsidRDefault="00F73675" w:rsidP="008B1826">
      <w:pPr>
        <w:pStyle w:val="Odsekzoznamu"/>
        <w:numPr>
          <w:ilvl w:val="1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>Stanovenie termínov a vedenie pravidelných porád;</w:t>
      </w:r>
    </w:p>
    <w:p w:rsidR="00F73675" w:rsidRPr="00B932BC" w:rsidRDefault="00F73675" w:rsidP="008B1826">
      <w:pPr>
        <w:pStyle w:val="Odsekzoznamu"/>
        <w:numPr>
          <w:ilvl w:val="1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>Zabezpečenie publicity aktivít v súlade s kritériami pre informovanie a publicitu;</w:t>
      </w:r>
    </w:p>
    <w:p w:rsidR="00F73675" w:rsidRPr="00B932BC" w:rsidRDefault="00F73675" w:rsidP="008B1826">
      <w:pPr>
        <w:pStyle w:val="Odsekzoznamu"/>
        <w:numPr>
          <w:ilvl w:val="1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>Kontrolovanie dodržiavania harmonogramu prác a stanoveného rozpočtu;</w:t>
      </w:r>
    </w:p>
    <w:p w:rsidR="00F73675" w:rsidRPr="00B932BC" w:rsidRDefault="00F73675" w:rsidP="008B1826">
      <w:pPr>
        <w:pStyle w:val="Odsekzoznamu"/>
        <w:numPr>
          <w:ilvl w:val="1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 xml:space="preserve">Komunikovanie s členmi projektových tímov v rámci regionálnych </w:t>
      </w:r>
      <w:r w:rsidR="00284175">
        <w:rPr>
          <w:rFonts w:ascii="Times New Roman" w:hAnsi="Times New Roman" w:cs="Times New Roman"/>
          <w:bCs/>
          <w:iCs/>
          <w:sz w:val="24"/>
          <w:szCs w:val="24"/>
        </w:rPr>
        <w:t>antén</w:t>
      </w:r>
      <w:r w:rsidRPr="00B932BC">
        <w:rPr>
          <w:rFonts w:ascii="Times New Roman" w:hAnsi="Times New Roman" w:cs="Times New Roman"/>
          <w:bCs/>
          <w:iCs/>
          <w:sz w:val="24"/>
          <w:szCs w:val="24"/>
        </w:rPr>
        <w:t xml:space="preserve"> NSRV SR, riadiacim orgánom, NSRV SR a pod;</w:t>
      </w:r>
    </w:p>
    <w:p w:rsidR="00F73675" w:rsidRPr="00B932BC" w:rsidRDefault="00F73675" w:rsidP="008B1826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32BC">
        <w:rPr>
          <w:rFonts w:ascii="Times New Roman" w:hAnsi="Times New Roman" w:cs="Times New Roman"/>
          <w:bCs/>
          <w:iCs/>
          <w:sz w:val="24"/>
          <w:szCs w:val="24"/>
        </w:rPr>
        <w:t>Uprednostňovaná úroveň vzdelania - vysokoškolské II. stupňa</w:t>
      </w:r>
    </w:p>
    <w:p w:rsidR="00F73675" w:rsidRPr="0029692F" w:rsidRDefault="00F73675" w:rsidP="008B1826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92F">
        <w:rPr>
          <w:rFonts w:ascii="Times New Roman" w:hAnsi="Times New Roman" w:cs="Times New Roman"/>
          <w:bCs/>
          <w:iCs/>
          <w:sz w:val="24"/>
          <w:szCs w:val="24"/>
        </w:rPr>
        <w:t>Zameranie, odbor vzdelania: ekonomické, resp. poľnohospodárske</w:t>
      </w:r>
    </w:p>
    <w:p w:rsidR="00F73675" w:rsidRPr="0029692F" w:rsidRDefault="00F73675" w:rsidP="008B1826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92F">
        <w:rPr>
          <w:rFonts w:ascii="Times New Roman" w:hAnsi="Times New Roman" w:cs="Times New Roman"/>
          <w:bCs/>
          <w:iCs/>
          <w:sz w:val="24"/>
          <w:szCs w:val="24"/>
        </w:rPr>
        <w:t>Požadované znalosti:</w:t>
      </w:r>
    </w:p>
    <w:p w:rsidR="00F73675" w:rsidRPr="0029692F" w:rsidRDefault="00F73675" w:rsidP="008B1826">
      <w:pPr>
        <w:pStyle w:val="Odsekzoznamu"/>
        <w:numPr>
          <w:ilvl w:val="1"/>
          <w:numId w:val="1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92F">
        <w:rPr>
          <w:rFonts w:ascii="Times New Roman" w:hAnsi="Times New Roman" w:cs="Times New Roman"/>
          <w:bCs/>
          <w:iCs/>
          <w:sz w:val="24"/>
          <w:szCs w:val="24"/>
        </w:rPr>
        <w:t>Počítačové znalosti – používateľ MS Office, Excel, PowerPoint, Access a pod.</w:t>
      </w:r>
    </w:p>
    <w:p w:rsidR="00F73675" w:rsidRPr="0029692F" w:rsidRDefault="00F73675" w:rsidP="008B1826">
      <w:pPr>
        <w:pStyle w:val="Odsekzoznamu"/>
        <w:numPr>
          <w:ilvl w:val="1"/>
          <w:numId w:val="1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92F">
        <w:rPr>
          <w:rFonts w:ascii="Times New Roman" w:hAnsi="Times New Roman" w:cs="Times New Roman"/>
          <w:bCs/>
          <w:iCs/>
          <w:sz w:val="24"/>
          <w:szCs w:val="24"/>
        </w:rPr>
        <w:t>Osobné schopnosti a ďalšie zručnosti: komunikatívnosť, riadiace schopnosti, organizačná schopnosť, rozhodnosť, schopnosť riešiť problémy, odolnosť voči stresu, flexibilita;</w:t>
      </w:r>
    </w:p>
    <w:p w:rsidR="00F73675" w:rsidRPr="0029692F" w:rsidRDefault="00F73675" w:rsidP="008B1826">
      <w:pPr>
        <w:pStyle w:val="Odsekzoznamu"/>
        <w:numPr>
          <w:ilvl w:val="1"/>
          <w:numId w:val="1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92F">
        <w:rPr>
          <w:rFonts w:ascii="Times New Roman" w:hAnsi="Times New Roman" w:cs="Times New Roman"/>
          <w:bCs/>
          <w:iCs/>
          <w:sz w:val="24"/>
          <w:szCs w:val="24"/>
        </w:rPr>
        <w:t>Vodičský preukaz: B</w:t>
      </w:r>
    </w:p>
    <w:p w:rsidR="00F73675" w:rsidRPr="0029692F" w:rsidRDefault="00F73675" w:rsidP="008B1826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2687" w:rsidRPr="00C90677" w:rsidRDefault="00C90677" w:rsidP="008B182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92F">
        <w:rPr>
          <w:rFonts w:ascii="Times New Roman" w:hAnsi="Times New Roman" w:cs="Times New Roman"/>
          <w:bCs/>
          <w:iCs/>
          <w:sz w:val="24"/>
          <w:szCs w:val="24"/>
        </w:rPr>
        <w:t xml:space="preserve">Priemerná suma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stravné </w:t>
      </w:r>
      <w:r w:rsidR="00DD55A7">
        <w:rPr>
          <w:rFonts w:ascii="Times New Roman" w:hAnsi="Times New Roman" w:cs="Times New Roman"/>
          <w:bCs/>
          <w:iCs/>
          <w:sz w:val="24"/>
          <w:szCs w:val="24"/>
        </w:rPr>
        <w:t xml:space="preserve">predstavuje </w:t>
      </w:r>
      <w:r w:rsidR="002969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831,00 </w:t>
      </w:r>
      <w:r w:rsidRPr="00622A9F">
        <w:rPr>
          <w:rFonts w:ascii="Times New Roman" w:hAnsi="Times New Roman" w:cs="Times New Roman"/>
          <w:b/>
          <w:bCs/>
          <w:iCs/>
          <w:sz w:val="24"/>
          <w:szCs w:val="24"/>
        </w:rPr>
        <w:t>EUR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="00094B3C">
        <w:rPr>
          <w:rFonts w:ascii="Times New Roman" w:hAnsi="Times New Roman" w:cs="Times New Roman"/>
          <w:b/>
          <w:bCs/>
          <w:iCs/>
          <w:sz w:val="24"/>
          <w:szCs w:val="24"/>
        </w:rPr>
        <w:t>rok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/organizácia</w:t>
      </w:r>
      <w:r w:rsidR="00311D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11D20" w:rsidRPr="00311D20">
        <w:rPr>
          <w:rFonts w:ascii="Times New Roman" w:hAnsi="Times New Roman" w:cs="Times New Roman"/>
          <w:bCs/>
          <w:iCs/>
          <w:sz w:val="24"/>
          <w:szCs w:val="24"/>
        </w:rPr>
        <w:t xml:space="preserve">(príspevok zamestnávateľa na stravovanie pre </w:t>
      </w:r>
      <w:r w:rsidR="006C35F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11D20" w:rsidRPr="00311D20">
        <w:rPr>
          <w:rFonts w:ascii="Times New Roman" w:hAnsi="Times New Roman" w:cs="Times New Roman"/>
          <w:bCs/>
          <w:iCs/>
          <w:sz w:val="24"/>
          <w:szCs w:val="24"/>
        </w:rPr>
        <w:t xml:space="preserve"> zamestnancov</w:t>
      </w:r>
      <w:r w:rsidR="00311D2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9692F" w:rsidRPr="0029692F">
        <w:rPr>
          <w:rFonts w:ascii="Times New Roman" w:hAnsi="Times New Roman" w:cs="Times New Roman"/>
          <w:bCs/>
          <w:iCs/>
          <w:sz w:val="24"/>
          <w:szCs w:val="24"/>
        </w:rPr>
        <w:t xml:space="preserve"> 21</w:t>
      </w:r>
      <w:r w:rsidR="002969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692F" w:rsidRPr="0029692F">
        <w:rPr>
          <w:rFonts w:ascii="Times New Roman" w:hAnsi="Times New Roman" w:cs="Times New Roman"/>
          <w:bCs/>
          <w:iCs/>
          <w:sz w:val="24"/>
          <w:szCs w:val="24"/>
        </w:rPr>
        <w:t>pracovných dní/mesiac, 12 mesiacov</w:t>
      </w:r>
      <w:r w:rsidR="00311D20" w:rsidRPr="00311D2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C90677" w:rsidRPr="00C90677" w:rsidRDefault="00C90677" w:rsidP="008B1826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0677">
        <w:rPr>
          <w:rFonts w:ascii="Times New Roman" w:hAnsi="Times New Roman" w:cs="Times New Roman"/>
          <w:bCs/>
          <w:iCs/>
          <w:sz w:val="24"/>
          <w:szCs w:val="24"/>
        </w:rPr>
        <w:t xml:space="preserve">Zamestnávateľ je povinný prispieť na stravovanie zamestnanca vo výške 55% ceny jedla; v prípade stravovacej poukážky sa cenou jedla rozumie hodnota stravovacej poukážky. </w:t>
      </w:r>
    </w:p>
    <w:p w:rsidR="00F24EF2" w:rsidRDefault="0029692F" w:rsidP="008B182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D20">
        <w:rPr>
          <w:rFonts w:ascii="Times New Roman" w:hAnsi="Times New Roman" w:cs="Times New Roman"/>
          <w:bCs/>
          <w:iCs/>
          <w:sz w:val="24"/>
          <w:szCs w:val="24"/>
        </w:rPr>
        <w:t>Na Slovensku sa minimálne požiadavky na priestor riadia normou STN 73 5305 (Administratívne budovy) a normou STN 92 0241 (Požiarna bezpečnosť stavieb. Obsadenie objektu osobami), ktoré pre administratívne priestory stanovujú hodnoty nasledovne: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1D20">
        <w:rPr>
          <w:rFonts w:ascii="Times New Roman" w:hAnsi="Times New Roman" w:cs="Times New Roman"/>
          <w:bCs/>
          <w:iCs/>
          <w:sz w:val="24"/>
          <w:szCs w:val="24"/>
        </w:rPr>
        <w:t>Optimálna plocha v m2 na 1 pracovníka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(pre účely analýzy) pre </w:t>
      </w:r>
      <w:r w:rsidRPr="00BE329A">
        <w:rPr>
          <w:rFonts w:ascii="Times New Roman" w:hAnsi="Times New Roman" w:cs="Times New Roman"/>
          <w:bCs/>
          <w:iCs/>
          <w:sz w:val="24"/>
          <w:szCs w:val="24"/>
        </w:rPr>
        <w:t>riadiace a konceptné administratívne činnosti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predstavuje 13m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9692F" w:rsidRPr="00F24EF2" w:rsidRDefault="0029692F" w:rsidP="00F24EF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4E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tbl>
      <w:tblPr>
        <w:tblW w:w="87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236"/>
        <w:gridCol w:w="1036"/>
        <w:gridCol w:w="1096"/>
        <w:gridCol w:w="1416"/>
        <w:gridCol w:w="1508"/>
        <w:gridCol w:w="1116"/>
      </w:tblGrid>
      <w:tr w:rsidR="0029692F" w:rsidRPr="0029692F" w:rsidTr="0029692F">
        <w:trPr>
          <w:trHeight w:val="25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RANGE!A1"/>
            <w:proofErr w:type="spellStart"/>
            <w:r w:rsidRPr="00296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Prenajom</w:t>
            </w:r>
            <w:proofErr w:type="spellEnd"/>
            <w:r w:rsidRPr="00296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26m2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9692F" w:rsidRPr="0029692F" w:rsidTr="0029692F">
        <w:trPr>
          <w:trHeight w:val="25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9692F" w:rsidRPr="0029692F" w:rsidTr="0029692F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Prenajom</w:t>
            </w:r>
            <w:proofErr w:type="spellEnd"/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m2/rok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E70720" w:rsidP="0029692F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sk-SK"/>
              </w:rPr>
            </w:pPr>
            <w:hyperlink r:id="rId7" w:history="1">
              <w:r w:rsidR="0029692F" w:rsidRPr="0029692F">
                <w:rPr>
                  <w:rFonts w:ascii="Calibri" w:eastAsia="Times New Roman" w:hAnsi="Calibri" w:cs="Arial"/>
                  <w:color w:val="0000FF"/>
                  <w:u w:val="single"/>
                  <w:lang w:eastAsia="sk-SK"/>
                </w:rPr>
                <w:t>www.trh.sk</w:t>
              </w:r>
              <w:r w:rsidR="0029692F" w:rsidRPr="0029692F">
                <w:rPr>
                  <w:rFonts w:ascii="Calibri" w:eastAsia="Times New Roman" w:hAnsi="Calibri" w:cs="Arial"/>
                  <w:color w:val="0000FF"/>
                  <w:u w:val="single"/>
                  <w:lang w:eastAsia="sk-SK"/>
                </w:rPr>
                <w:br/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29692F" w:rsidRPr="0029692F" w:rsidTr="0029692F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Min za m2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Max za m2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Priemer za m2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Cena/rok/26m2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Mesacne</w:t>
            </w:r>
            <w:proofErr w:type="spellEnd"/>
          </w:p>
        </w:tc>
      </w:tr>
      <w:tr w:rsidR="0029692F" w:rsidRPr="0029692F" w:rsidTr="0029692F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Banskobystrický kraj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1 807,0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150,6 </w:t>
            </w:r>
          </w:p>
        </w:tc>
      </w:tr>
      <w:tr w:rsidR="0029692F" w:rsidRPr="0029692F" w:rsidTr="0029692F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Bratislavsky kraj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253,5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6 591,0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549,3 </w:t>
            </w:r>
          </w:p>
        </w:tc>
      </w:tr>
      <w:tr w:rsidR="0029692F" w:rsidRPr="0029692F" w:rsidTr="0029692F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Kosicky</w:t>
            </w:r>
            <w:proofErr w:type="spellEnd"/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kraj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3 120,0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260,0 </w:t>
            </w:r>
          </w:p>
        </w:tc>
      </w:tr>
      <w:tr w:rsidR="0029692F" w:rsidRPr="0029692F" w:rsidTr="0029692F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Nitriansky kraj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3 328,0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277,3 </w:t>
            </w:r>
          </w:p>
        </w:tc>
      </w:tr>
      <w:tr w:rsidR="0029692F" w:rsidRPr="0029692F" w:rsidTr="0029692F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Prešovský kraj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1 456,0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121,3 </w:t>
            </w:r>
          </w:p>
        </w:tc>
      </w:tr>
      <w:tr w:rsidR="0029692F" w:rsidRPr="0029692F" w:rsidTr="0029692F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Trenčiansky kraj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2 340,0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195,0 </w:t>
            </w:r>
          </w:p>
        </w:tc>
      </w:tr>
      <w:tr w:rsidR="0029692F" w:rsidRPr="0029692F" w:rsidTr="0029692F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Trnavský kraj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2 405,0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200,4 </w:t>
            </w:r>
          </w:p>
        </w:tc>
      </w:tr>
      <w:tr w:rsidR="0029692F" w:rsidRPr="0029692F" w:rsidTr="0029692F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Žilinský kraj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2 210,0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184,2 </w:t>
            </w:r>
          </w:p>
        </w:tc>
      </w:tr>
      <w:tr w:rsidR="0029692F" w:rsidRPr="0029692F" w:rsidTr="0029692F">
        <w:trPr>
          <w:trHeight w:val="31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70,8   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152,9   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111,8   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2 907,1   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242,3   </w:t>
            </w:r>
          </w:p>
        </w:tc>
      </w:tr>
      <w:tr w:rsidR="0029692F" w:rsidRPr="0029692F" w:rsidTr="0029692F">
        <w:trPr>
          <w:trHeight w:val="31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Cele SR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111,81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m2/rok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29692F" w:rsidRPr="0029692F" w:rsidTr="0029692F">
        <w:trPr>
          <w:trHeight w:val="33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9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26m2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double"/>
                <w:lang w:eastAsia="sk-SK"/>
              </w:rPr>
            </w:pPr>
            <w:r w:rsidRPr="002969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double"/>
                <w:lang w:eastAsia="sk-SK"/>
              </w:rPr>
              <w:t xml:space="preserve">        2 907,13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F" w:rsidRPr="0029692F" w:rsidRDefault="0029692F" w:rsidP="002969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</w:tbl>
    <w:p w:rsidR="0029692F" w:rsidRDefault="0029692F" w:rsidP="0029692F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692F" w:rsidRDefault="0029692F" w:rsidP="0029692F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692F" w:rsidRDefault="0029692F" w:rsidP="0029692F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692F" w:rsidRDefault="0029692F" w:rsidP="0029692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vybavenie kancelárie podľa prieskumu trhu zahŕňa nákup kanc. stola, stoličky, skrinky, notebooku, tlačiarne, toneru a papiera pre 2 zamestnancov a predstavuje sumu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647,14</w:t>
      </w:r>
      <w:r w:rsidR="008B4F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D210C">
        <w:rPr>
          <w:rFonts w:ascii="Times New Roman" w:hAnsi="Times New Roman" w:cs="Times New Roman"/>
          <w:b/>
          <w:bCs/>
          <w:iCs/>
          <w:sz w:val="24"/>
          <w:szCs w:val="24"/>
        </w:rPr>
        <w:t>EUR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/rok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9692F" w:rsidRDefault="0029692F" w:rsidP="0029692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telefónny paušál, internetové pripojenie, tvorbu a administráciu webu, software a obnovu licencií, kancelárskych potrieb a antivírusových programov podľa prieskumu trhu predstavuje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251,78</w:t>
      </w:r>
      <w:r w:rsidRPr="005969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EUR/mesiac/organizácia</w:t>
      </w:r>
    </w:p>
    <w:p w:rsidR="00582687" w:rsidRDefault="00582687" w:rsidP="00EC4CCB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826" w:rsidRDefault="008B1826" w:rsidP="00EC4CCB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826" w:rsidRDefault="008B1826" w:rsidP="00EC4CCB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826" w:rsidRDefault="008B1826" w:rsidP="00EC4CCB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01FE" w:rsidRPr="000523F5" w:rsidRDefault="007F0AE7" w:rsidP="00CE562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Návrhy podmienok, ktoré musia byť splnené pri aplikovaní paušálnej sadzby na prevádzku </w:t>
      </w:r>
      <w:r w:rsidR="00CE5626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="00284175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CE56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NSRV</w:t>
      </w:r>
      <w:r w:rsidR="009572F4" w:rsidRPr="000523F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E5626" w:rsidRDefault="006C35F8" w:rsidP="004C4E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284175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NSRV musí mať minimálne </w:t>
      </w:r>
      <w:r w:rsidRPr="00B932B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E5626" w:rsidRPr="000B1697">
        <w:rPr>
          <w:rFonts w:ascii="Times New Roman" w:hAnsi="Times New Roman" w:cs="Times New Roman"/>
          <w:bCs/>
          <w:iCs/>
          <w:color w:val="548DD4" w:themeColor="text2" w:themeTint="99"/>
          <w:sz w:val="24"/>
          <w:szCs w:val="24"/>
        </w:rPr>
        <w:t xml:space="preserve"> </w:t>
      </w:r>
      <w:r w:rsidR="00CE5626">
        <w:rPr>
          <w:rFonts w:ascii="Times New Roman" w:hAnsi="Times New Roman" w:cs="Times New Roman"/>
          <w:bCs/>
          <w:iCs/>
          <w:sz w:val="24"/>
          <w:szCs w:val="24"/>
        </w:rPr>
        <w:t>zamestnancov (podmienka musí byť splnená počas celého obdobia, na ktoré budú poskytnuté platby).</w:t>
      </w:r>
      <w:r w:rsidR="00DD55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E5626" w:rsidRDefault="00CE5626" w:rsidP="00CE5626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626">
        <w:rPr>
          <w:rFonts w:ascii="Times New Roman" w:hAnsi="Times New Roman" w:cs="Times New Roman"/>
          <w:bCs/>
          <w:iCs/>
          <w:sz w:val="24"/>
          <w:szCs w:val="24"/>
        </w:rPr>
        <w:t xml:space="preserve">Pracovnoprávny vzťah – je vzťah na základe zákonníka práce alebo obdobnej pracovnoprávnej normy </w:t>
      </w:r>
    </w:p>
    <w:p w:rsidR="00CE5626" w:rsidRPr="00CE5626" w:rsidRDefault="00CE5626" w:rsidP="00CE5626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626">
        <w:rPr>
          <w:rFonts w:ascii="Times New Roman" w:hAnsi="Times New Roman" w:cs="Times New Roman"/>
          <w:bCs/>
          <w:iCs/>
          <w:sz w:val="24"/>
          <w:szCs w:val="24"/>
        </w:rPr>
        <w:t xml:space="preserve">Dohody o prácach vykonávaných mimo pracovného pomeru </w:t>
      </w:r>
    </w:p>
    <w:p w:rsidR="00CE5626" w:rsidRPr="00CE5626" w:rsidRDefault="00CE5626" w:rsidP="00CE5626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626">
        <w:rPr>
          <w:rFonts w:ascii="Times New Roman" w:hAnsi="Times New Roman" w:cs="Times New Roman"/>
          <w:bCs/>
          <w:iCs/>
          <w:sz w:val="24"/>
          <w:szCs w:val="24"/>
        </w:rPr>
        <w:t xml:space="preserve">Zmluvy uzatvorené podľa Obchodného zákonníka, občianskeho zákonníka, autorského zákona alebo iného všeobecne záväzného právneho predpisu (t.j. zmluvné vzťahy mimo pracovnoprávnych vzťahov) podliehajú zákonu 25/2006 </w:t>
      </w:r>
      <w:proofErr w:type="spellStart"/>
      <w:r w:rsidRPr="00CE5626">
        <w:rPr>
          <w:rFonts w:ascii="Times New Roman" w:hAnsi="Times New Roman" w:cs="Times New Roman"/>
          <w:bCs/>
          <w:iCs/>
          <w:sz w:val="24"/>
          <w:szCs w:val="24"/>
        </w:rPr>
        <w:t>Z.z</w:t>
      </w:r>
      <w:proofErr w:type="spellEnd"/>
      <w:r w:rsidRPr="00CE5626">
        <w:rPr>
          <w:rFonts w:ascii="Times New Roman" w:hAnsi="Times New Roman" w:cs="Times New Roman"/>
          <w:bCs/>
          <w:iCs/>
          <w:sz w:val="24"/>
          <w:szCs w:val="24"/>
        </w:rPr>
        <w:t>. o verejnom obstarávaní a o zmene a doplnení niektorých zákon</w:t>
      </w:r>
      <w:r w:rsidR="002072D3">
        <w:rPr>
          <w:rFonts w:ascii="Times New Roman" w:hAnsi="Times New Roman" w:cs="Times New Roman"/>
          <w:bCs/>
          <w:iCs/>
          <w:sz w:val="24"/>
          <w:szCs w:val="24"/>
        </w:rPr>
        <w:t xml:space="preserve">ov v znení neskorších predpisov </w:t>
      </w:r>
    </w:p>
    <w:p w:rsidR="00CE5626" w:rsidRDefault="00CE5626" w:rsidP="00CE5626">
      <w:pPr>
        <w:pStyle w:val="Odsekzoznamu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5626" w:rsidRDefault="00284175" w:rsidP="00CE562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RA NSRV</w:t>
      </w:r>
      <w:r w:rsidR="00CE5626">
        <w:rPr>
          <w:rFonts w:ascii="Times New Roman" w:hAnsi="Times New Roman" w:cs="Times New Roman"/>
          <w:bCs/>
          <w:iCs/>
          <w:sz w:val="24"/>
          <w:szCs w:val="24"/>
        </w:rPr>
        <w:t xml:space="preserve"> musí vlastniť, resp. mať v dlhodobom prenájme (minimálne v čase, na ktorý bude platba poskytnutá)</w:t>
      </w:r>
      <w:r w:rsidR="00D828DC">
        <w:rPr>
          <w:rFonts w:ascii="Times New Roman" w:hAnsi="Times New Roman" w:cs="Times New Roman"/>
          <w:bCs/>
          <w:iCs/>
          <w:sz w:val="24"/>
          <w:szCs w:val="24"/>
        </w:rPr>
        <w:t xml:space="preserve"> kancelárske priestory pre všetký</w:t>
      </w:r>
      <w:r w:rsidR="009376ED">
        <w:rPr>
          <w:rFonts w:ascii="Times New Roman" w:hAnsi="Times New Roman" w:cs="Times New Roman"/>
          <w:bCs/>
          <w:iCs/>
          <w:sz w:val="24"/>
          <w:szCs w:val="24"/>
        </w:rPr>
        <w:t xml:space="preserve">ch zamestnancov (minimálne pre </w:t>
      </w:r>
      <w:r w:rsidR="00F24EF2">
        <w:rPr>
          <w:rFonts w:ascii="Times New Roman" w:hAnsi="Times New Roman" w:cs="Times New Roman"/>
          <w:bCs/>
          <w:iCs/>
          <w:sz w:val="24"/>
          <w:szCs w:val="24"/>
        </w:rPr>
        <w:t>dvoch</w:t>
      </w:r>
      <w:r w:rsidR="00D828DC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CE5626" w:rsidRDefault="00284175" w:rsidP="004C4E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="00D828DC">
        <w:rPr>
          <w:rFonts w:ascii="Times New Roman" w:hAnsi="Times New Roman" w:cs="Times New Roman"/>
          <w:bCs/>
          <w:iCs/>
          <w:sz w:val="24"/>
          <w:szCs w:val="24"/>
        </w:rPr>
        <w:t xml:space="preserve"> NSRV </w:t>
      </w:r>
      <w:r w:rsidR="00D828DC" w:rsidRPr="00DA7853">
        <w:rPr>
          <w:rFonts w:ascii="Times New Roman" w:hAnsi="Times New Roman" w:cs="Times New Roman"/>
          <w:bCs/>
          <w:iCs/>
          <w:sz w:val="24"/>
          <w:szCs w:val="24"/>
        </w:rPr>
        <w:t>musí vlastniť</w:t>
      </w:r>
      <w:r w:rsidR="00DA7853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 w:rsidR="00D828DC" w:rsidRPr="00DA7853">
        <w:rPr>
          <w:rFonts w:ascii="Times New Roman" w:hAnsi="Times New Roman" w:cs="Times New Roman"/>
          <w:bCs/>
          <w:iCs/>
          <w:sz w:val="24"/>
          <w:szCs w:val="24"/>
        </w:rPr>
        <w:t xml:space="preserve"> mať k dispozícii</w:t>
      </w:r>
      <w:r w:rsidR="00D828DC">
        <w:rPr>
          <w:rFonts w:ascii="Times New Roman" w:hAnsi="Times New Roman" w:cs="Times New Roman"/>
          <w:bCs/>
          <w:iCs/>
          <w:sz w:val="24"/>
          <w:szCs w:val="24"/>
        </w:rPr>
        <w:t xml:space="preserve"> pre každého zo zamestnancov výpočtovú techniku (PC, alebo notebooky, príp. tablety), telefóny</w:t>
      </w:r>
      <w:r w:rsidR="00DD55A7">
        <w:rPr>
          <w:rFonts w:ascii="Times New Roman" w:hAnsi="Times New Roman" w:cs="Times New Roman"/>
          <w:bCs/>
          <w:iCs/>
          <w:sz w:val="24"/>
          <w:szCs w:val="24"/>
        </w:rPr>
        <w:t xml:space="preserve"> a mať zabezpečené pripojenie na internet</w:t>
      </w:r>
      <w:r w:rsidR="009376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28DC" w:rsidRDefault="00284175" w:rsidP="004C4E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="00D828DC">
        <w:rPr>
          <w:rFonts w:ascii="Times New Roman" w:hAnsi="Times New Roman" w:cs="Times New Roman"/>
          <w:bCs/>
          <w:iCs/>
          <w:sz w:val="24"/>
          <w:szCs w:val="24"/>
        </w:rPr>
        <w:t xml:space="preserve"> NSRV musí prevádzkovať IT systémy s platnými licenciami v súlade s predpismi výrobcov/dodávateľov</w:t>
      </w:r>
    </w:p>
    <w:p w:rsidR="00D828DC" w:rsidRDefault="00284175" w:rsidP="004C4E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="009376ED">
        <w:rPr>
          <w:rFonts w:ascii="Times New Roman" w:hAnsi="Times New Roman" w:cs="Times New Roman"/>
          <w:bCs/>
          <w:iCs/>
          <w:sz w:val="24"/>
          <w:szCs w:val="24"/>
        </w:rPr>
        <w:t xml:space="preserve"> NSRV musí </w:t>
      </w:r>
      <w:r w:rsidR="00DD55A7">
        <w:rPr>
          <w:rFonts w:ascii="Times New Roman" w:hAnsi="Times New Roman" w:cs="Times New Roman"/>
          <w:bCs/>
          <w:iCs/>
          <w:sz w:val="24"/>
          <w:szCs w:val="24"/>
        </w:rPr>
        <w:t xml:space="preserve">pri Žiadosti o platbu </w:t>
      </w:r>
      <w:r w:rsidR="009376ED">
        <w:rPr>
          <w:rFonts w:ascii="Times New Roman" w:hAnsi="Times New Roman" w:cs="Times New Roman"/>
          <w:bCs/>
          <w:iCs/>
          <w:sz w:val="24"/>
          <w:szCs w:val="24"/>
        </w:rPr>
        <w:t>preukazovať svoju činnosť v súlade s programovým dokumentom (plánom), resp. hostiteľský orgán NSRV SR bude dávať súhlas (ako prílohu k Žiadosti o platb</w:t>
      </w:r>
      <w:r w:rsidR="00A15D5E">
        <w:rPr>
          <w:rFonts w:ascii="Times New Roman" w:hAnsi="Times New Roman" w:cs="Times New Roman"/>
          <w:bCs/>
          <w:iCs/>
          <w:sz w:val="24"/>
          <w:szCs w:val="24"/>
        </w:rPr>
        <w:t>u) k vyplateniu paušálne sumy</w:t>
      </w:r>
      <w:r w:rsidR="009376ED">
        <w:rPr>
          <w:rFonts w:ascii="Times New Roman" w:hAnsi="Times New Roman" w:cs="Times New Roman"/>
          <w:bCs/>
          <w:iCs/>
          <w:sz w:val="24"/>
          <w:szCs w:val="24"/>
        </w:rPr>
        <w:t xml:space="preserve"> pre R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9376ED">
        <w:rPr>
          <w:rFonts w:ascii="Times New Roman" w:hAnsi="Times New Roman" w:cs="Times New Roman"/>
          <w:bCs/>
          <w:iCs/>
          <w:sz w:val="24"/>
          <w:szCs w:val="24"/>
        </w:rPr>
        <w:t xml:space="preserve"> NSRV za dané obdobie, na ktoré </w:t>
      </w:r>
      <w:r w:rsidR="00DD55A7">
        <w:rPr>
          <w:rFonts w:ascii="Times New Roman" w:hAnsi="Times New Roman" w:cs="Times New Roman"/>
          <w:bCs/>
          <w:iCs/>
          <w:sz w:val="24"/>
          <w:szCs w:val="24"/>
        </w:rPr>
        <w:t>by mala byť</w:t>
      </w:r>
      <w:r w:rsidR="009376ED">
        <w:rPr>
          <w:rFonts w:ascii="Times New Roman" w:hAnsi="Times New Roman" w:cs="Times New Roman"/>
          <w:bCs/>
          <w:iCs/>
          <w:sz w:val="24"/>
          <w:szCs w:val="24"/>
        </w:rPr>
        <w:t xml:space="preserve"> platba poskytnutá)</w:t>
      </w:r>
    </w:p>
    <w:p w:rsidR="00A57292" w:rsidRDefault="00284175" w:rsidP="004C4E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6D3CC0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A57292" w:rsidRPr="00B932BC">
        <w:rPr>
          <w:rFonts w:ascii="Times New Roman" w:hAnsi="Times New Roman" w:cs="Times New Roman"/>
          <w:bCs/>
          <w:iCs/>
          <w:sz w:val="24"/>
          <w:szCs w:val="24"/>
        </w:rPr>
        <w:t xml:space="preserve"> NSRV nesmie mať štatút MAS v období 2014 – 2020, z dôvodu možnej dup</w:t>
      </w:r>
      <w:r w:rsidR="00BD1240" w:rsidRPr="00B932BC">
        <w:rPr>
          <w:rFonts w:ascii="Times New Roman" w:hAnsi="Times New Roman" w:cs="Times New Roman"/>
          <w:bCs/>
          <w:iCs/>
          <w:sz w:val="24"/>
          <w:szCs w:val="24"/>
        </w:rPr>
        <w:t>licity poskytovania finančných prostriedkov</w:t>
      </w:r>
    </w:p>
    <w:p w:rsidR="007F0AE7" w:rsidRPr="00D35701" w:rsidRDefault="007F0AE7" w:rsidP="007F0AE7">
      <w:pPr>
        <w:spacing w:line="240" w:lineRule="auto"/>
        <w:ind w:left="360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57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Overovanie počas administratívnej kontroly a kontroly na mieste v rámci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35701">
        <w:rPr>
          <w:rFonts w:ascii="Times New Roman" w:hAnsi="Times New Roman" w:cs="Times New Roman"/>
          <w:b/>
          <w:bCs/>
          <w:iCs/>
          <w:sz w:val="24"/>
          <w:szCs w:val="24"/>
        </w:rPr>
        <w:t>žiadosti o platbu:</w:t>
      </w:r>
    </w:p>
    <w:p w:rsidR="007F0AE7" w:rsidRDefault="007F0AE7" w:rsidP="007F0AE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>V rámci predloženej žiadosti o platbu PPA</w:t>
      </w:r>
      <w:r w:rsidRPr="003224F3">
        <w:rPr>
          <w:rFonts w:ascii="Times New Roman" w:hAnsi="Times New Roman" w:cs="Times New Roman"/>
          <w:bCs/>
          <w:iCs/>
          <w:sz w:val="24"/>
          <w:szCs w:val="24"/>
        </w:rPr>
        <w:t xml:space="preserve"> (pri administratívnej kontrole, resp. kontrole na mieste) 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>overí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F0AE7" w:rsidRDefault="007F0AE7" w:rsidP="007F0AE7">
      <w:pPr>
        <w:pStyle w:val="Odsekzoznamu"/>
        <w:numPr>
          <w:ilvl w:val="2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>deklarovanú celkovú sumu oprávnených výdavkov v žiadosti  o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>platbu</w:t>
      </w:r>
    </w:p>
    <w:p w:rsidR="007F0AE7" w:rsidRPr="00977B62" w:rsidRDefault="007F0AE7" w:rsidP="007F0AE7">
      <w:pPr>
        <w:pStyle w:val="Odsekzoznamu"/>
        <w:numPr>
          <w:ilvl w:val="2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správnosť aplikovania postupov výpočtu deklarovanej výšky oprávnených výdavkov. </w:t>
      </w:r>
    </w:p>
    <w:p w:rsidR="007F0AE7" w:rsidRPr="00977B62" w:rsidRDefault="007F0AE7" w:rsidP="007F0AE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Prijímateľ predkladá PPA  žiadosť o platbu spolu s účtovnými dokladmi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priame výdavky projektu 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>a inou podpornou dokumentáciou 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napr. 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monitorovacou správou projektu, fotodokumentáciou, resp. iným spôsobom zaručujúcim </w:t>
      </w:r>
      <w:r>
        <w:rPr>
          <w:rFonts w:ascii="Times New Roman" w:hAnsi="Times New Roman" w:cs="Times New Roman"/>
          <w:bCs/>
          <w:iCs/>
          <w:sz w:val="24"/>
          <w:szCs w:val="24"/>
        </w:rPr>
        <w:t>dôkaz o prevádzke R</w:t>
      </w:r>
      <w:r w:rsidR="00284175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NSRV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), potvrdzujúcu </w:t>
      </w:r>
      <w:r>
        <w:rPr>
          <w:rFonts w:ascii="Times New Roman" w:hAnsi="Times New Roman" w:cs="Times New Roman"/>
          <w:bCs/>
          <w:iCs/>
          <w:sz w:val="24"/>
          <w:szCs w:val="24"/>
        </w:rPr>
        <w:t>prevádzku, funkčnosť R</w:t>
      </w:r>
      <w:r w:rsidR="00284175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NSRV a plnenie podmienok dohodnutých v Zmluve o NFP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>, ktorú PPA overí.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Zoznam dokladov k Žiadosti o platbu pre opatrenie vzdelávania bude taxatívne vymedzený.</w:t>
      </w:r>
    </w:p>
    <w:p w:rsidR="007F0AE7" w:rsidRDefault="007F0AE7" w:rsidP="007F0AE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PPA overí personálne výdavky, platby odvodov a pod.</w:t>
      </w:r>
    </w:p>
    <w:p w:rsidR="007F0AE7" w:rsidRPr="007F0AE7" w:rsidRDefault="007F0AE7" w:rsidP="007F0AE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01FE" w:rsidRPr="003101FE" w:rsidRDefault="009376ED" w:rsidP="0028417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Účel analýzy a r</w:t>
      </w:r>
      <w:r w:rsidR="003101FE"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ozdiely v uplatňovaní </w:t>
      </w:r>
      <w:r w:rsidR="00C307FD">
        <w:rPr>
          <w:rFonts w:ascii="Times New Roman" w:hAnsi="Times New Roman" w:cs="Times New Roman"/>
          <w:b/>
          <w:bCs/>
          <w:iCs/>
          <w:sz w:val="24"/>
          <w:szCs w:val="24"/>
        </w:rPr>
        <w:t>výdavkov</w:t>
      </w:r>
      <w:r w:rsidR="003101FE"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na chod R</w:t>
      </w:r>
      <w:r w:rsidR="00284175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NSRV </w:t>
      </w:r>
      <w:r w:rsidR="003101FE"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 programovacích obdobiach PRV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SR </w:t>
      </w:r>
      <w:r w:rsidR="003101FE"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>2007 – 2013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 PRV SR 2014 - 2020</w:t>
      </w:r>
      <w:r w:rsidR="003101FE"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77958" w:rsidRPr="00E77958" w:rsidRDefault="008A0433" w:rsidP="004C4E7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0433">
        <w:rPr>
          <w:rFonts w:ascii="Times New Roman" w:hAnsi="Times New Roman" w:cs="Times New Roman"/>
          <w:bCs/>
          <w:iCs/>
          <w:sz w:val="24"/>
          <w:szCs w:val="24"/>
        </w:rPr>
        <w:t>PRV SR 2007 – 2013</w:t>
      </w:r>
      <w:r w:rsidR="00E7795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101FE" w:rsidRDefault="004932A8" w:rsidP="004C4E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kontrola všetkých podkladov na režijné výdavky žiadateľa (</w:t>
      </w:r>
      <w:r w:rsidR="003101FE">
        <w:rPr>
          <w:rFonts w:ascii="Times New Roman" w:hAnsi="Times New Roman" w:cs="Times New Roman"/>
          <w:bCs/>
          <w:iCs/>
          <w:sz w:val="24"/>
          <w:szCs w:val="24"/>
        </w:rPr>
        <w:t>veľká administratívna záťaž na strane PPA);</w:t>
      </w:r>
    </w:p>
    <w:p w:rsidR="009E2FF1" w:rsidRPr="003101FE" w:rsidRDefault="003101FE" w:rsidP="004C4E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01FE">
        <w:rPr>
          <w:rFonts w:ascii="Times New Roman" w:hAnsi="Times New Roman" w:cs="Times New Roman"/>
          <w:bCs/>
          <w:iCs/>
          <w:sz w:val="24"/>
          <w:szCs w:val="24"/>
        </w:rPr>
        <w:t>metodika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 tomto programovacom období</w:t>
      </w:r>
      <w:r w:rsidRPr="003101FE">
        <w:rPr>
          <w:rFonts w:ascii="Times New Roman" w:hAnsi="Times New Roman" w:cs="Times New Roman"/>
          <w:bCs/>
          <w:iCs/>
          <w:sz w:val="24"/>
          <w:szCs w:val="24"/>
        </w:rPr>
        <w:t xml:space="preserve"> nedovoľovala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platby v hotovosti, (veľa výdavkov bolo predkladaných v rámci Žiadostí o platbu formou hotovostnej úhrady), reálne výdavky na réžiu preto boli zamietané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 xml:space="preserve"> zo strany PPA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D778A" w:rsidRDefault="00CD778A" w:rsidP="004C4E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oprávnenosť výdavkov spojených s telefonovaním, internetom faxom a pod. museli koneční prijímatelia </w:t>
      </w:r>
      <w:r w:rsidR="00C307FD">
        <w:rPr>
          <w:rFonts w:ascii="Times New Roman" w:hAnsi="Times New Roman" w:cs="Times New Roman"/>
          <w:bCs/>
          <w:iCs/>
          <w:sz w:val="24"/>
          <w:szCs w:val="24"/>
        </w:rPr>
        <w:t>preukázať pri kontrole na mieste, inak boli neuznateľným výdavkom</w:t>
      </w:r>
      <w:r w:rsidR="004932A8">
        <w:rPr>
          <w:rFonts w:ascii="Times New Roman" w:hAnsi="Times New Roman" w:cs="Times New Roman"/>
          <w:bCs/>
          <w:iCs/>
          <w:sz w:val="24"/>
          <w:szCs w:val="24"/>
        </w:rPr>
        <w:t xml:space="preserve"> (veľa žiadateľov si výdavky v Žiadosti o platbu ani neuplatňovali, kvôli výpisom hovorov a dokazovaním oprávnenosti položiek – boli s tým spojené ďalšie výdavky na strane konečných prijímateľov)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A0433" w:rsidRDefault="008A0433" w:rsidP="008A04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kontrola priamych výdavkov v projekte je</w:t>
      </w:r>
      <w:r w:rsidR="002F5EF7">
        <w:rPr>
          <w:rFonts w:ascii="Times New Roman" w:hAnsi="Times New Roman" w:cs="Times New Roman"/>
          <w:bCs/>
          <w:iCs/>
          <w:sz w:val="24"/>
          <w:szCs w:val="24"/>
        </w:rPr>
        <w:t xml:space="preserve"> 100% (administratívna kontrola aj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</w:t>
      </w:r>
      <w:r w:rsidR="002F5EF7">
        <w:rPr>
          <w:rFonts w:ascii="Times New Roman" w:hAnsi="Times New Roman" w:cs="Times New Roman"/>
          <w:bCs/>
          <w:iCs/>
          <w:sz w:val="24"/>
          <w:szCs w:val="24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</w:rPr>
        <w:t>ntrola na mieste);</w:t>
      </w:r>
    </w:p>
    <w:p w:rsidR="008A0433" w:rsidRDefault="008A0433" w:rsidP="008A04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zdokladovanie priamych výdavkov v rámci Žiadosti o platbu je taktiež na 100%;</w:t>
      </w:r>
    </w:p>
    <w:p w:rsidR="007F0AE7" w:rsidRPr="008B1826" w:rsidRDefault="007F0AE7" w:rsidP="007F0AE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1826">
        <w:rPr>
          <w:rFonts w:ascii="Times New Roman" w:hAnsi="Times New Roman" w:cs="Times New Roman"/>
          <w:bCs/>
          <w:iCs/>
          <w:sz w:val="24"/>
          <w:szCs w:val="24"/>
        </w:rPr>
        <w:t>PRV SR 2014 – 2020:</w:t>
      </w:r>
    </w:p>
    <w:p w:rsidR="007F0AE7" w:rsidRPr="008B1826" w:rsidRDefault="007F0AE7" w:rsidP="007F0A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1826">
        <w:rPr>
          <w:rFonts w:ascii="Times New Roman" w:hAnsi="Times New Roman" w:cs="Times New Roman"/>
          <w:bCs/>
          <w:iCs/>
          <w:sz w:val="24"/>
          <w:szCs w:val="24"/>
        </w:rPr>
        <w:t>Priame (personálne) výdavky sa budú preukazovať pri Žiadosti o platbu v plnej miere. Maximálna suma na personálne zabezpečenie chodu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 (vrátane stravného), ktorá môže byť nárokovaná/refundovaná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 je vo výške </w:t>
      </w:r>
      <w:r w:rsidRPr="008B1826">
        <w:rPr>
          <w:rFonts w:ascii="Times New Roman" w:hAnsi="Times New Roman" w:cs="Times New Roman"/>
          <w:b/>
          <w:bCs/>
          <w:iCs/>
          <w:sz w:val="24"/>
          <w:szCs w:val="24"/>
        </w:rPr>
        <w:t>42 900,00 EUR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za rok. </w:t>
      </w:r>
    </w:p>
    <w:p w:rsidR="007F0AE7" w:rsidRPr="008B1826" w:rsidRDefault="007F0AE7" w:rsidP="007F0A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1826">
        <w:rPr>
          <w:rFonts w:ascii="Times New Roman" w:hAnsi="Times New Roman" w:cs="Times New Roman"/>
          <w:bCs/>
          <w:iCs/>
          <w:sz w:val="24"/>
          <w:szCs w:val="24"/>
        </w:rPr>
        <w:t>Nepriame výdavky (režijné výdavky súvisiace so zabezpečením chodu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NSRV) sa na základe skúsenosti z predchádzajúceho programovacieho obdobia, prieskumu trhu a štatistických ukazovateľov nebudú preukazovať pri Žiadosti o platbu, ale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 sa poskytne príslušná </w:t>
      </w:r>
      <w:r w:rsidRPr="008B1826">
        <w:rPr>
          <w:rFonts w:ascii="Times New Roman" w:hAnsi="Times New Roman" w:cs="Times New Roman"/>
          <w:b/>
          <w:bCs/>
          <w:iCs/>
          <w:sz w:val="24"/>
          <w:szCs w:val="24"/>
        </w:rPr>
        <w:t>18%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sadzba na výdavky súvisiace s chodom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NSRV, na ktoré bude mať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 nárok až po preukázaní splnenia vopred známych podmienok, ktoré sú súčasťou tejto analýzy (viď návrhy podmienok,</w:t>
      </w:r>
      <w:r w:rsidRPr="008B1826">
        <w:t xml:space="preserve"> 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>ktoré musia byť pri aplikovaní paušálnej sadzby na prevádzku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NSRV).</w:t>
      </w:r>
    </w:p>
    <w:p w:rsidR="00E70720" w:rsidRDefault="00E70720" w:rsidP="007C3F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D55A7" w:rsidRDefault="00994B20" w:rsidP="007C3F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4B20">
        <w:rPr>
          <w:rFonts w:ascii="Times New Roman" w:hAnsi="Times New Roman" w:cs="Times New Roman"/>
          <w:b/>
          <w:bCs/>
          <w:iCs/>
          <w:sz w:val="24"/>
          <w:szCs w:val="24"/>
        </w:rPr>
        <w:t>Záver</w:t>
      </w:r>
    </w:p>
    <w:p w:rsidR="007C3FCA" w:rsidRDefault="007C3FCA" w:rsidP="007C3FC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4B20">
        <w:rPr>
          <w:rFonts w:ascii="Times New Roman" w:hAnsi="Times New Roman" w:cs="Times New Roman"/>
          <w:bCs/>
          <w:iCs/>
          <w:sz w:val="24"/>
          <w:szCs w:val="24"/>
        </w:rPr>
        <w:t>Metóda výpočtu paušáln</w:t>
      </w:r>
      <w:r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Pr="00994B20">
        <w:rPr>
          <w:rFonts w:ascii="Times New Roman" w:hAnsi="Times New Roman" w:cs="Times New Roman"/>
          <w:bCs/>
          <w:iCs/>
          <w:sz w:val="24"/>
          <w:szCs w:val="24"/>
        </w:rPr>
        <w:t xml:space="preserve"> platb</w:t>
      </w:r>
      <w:r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994B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vychádza z analýzy skutočne vynaložených výdavkov v rámci opatrenia 5.2 v období PRV SR 2007 – 2014 v kombinácii s prieskumom trhu výšky cien vybraných tovarov a služieb a štatistickými ukazovateľmi (zdroj – Štatistický úrad SR)</w:t>
      </w:r>
      <w:r w:rsidRPr="00994B20">
        <w:rPr>
          <w:rFonts w:ascii="Times New Roman" w:hAnsi="Times New Roman" w:cs="Times New Roman"/>
          <w:bCs/>
          <w:iCs/>
          <w:sz w:val="24"/>
          <w:szCs w:val="24"/>
        </w:rPr>
        <w:t>. Keďže sa trhové ceny v rôznych odvetviach neustále menia, konečná suma paušálnej platby zohľadňuje aj možnú disproporciu do budúcnosti.</w:t>
      </w:r>
    </w:p>
    <w:p w:rsidR="00E70720" w:rsidRDefault="00E70720" w:rsidP="007C3FC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4D43" w:rsidRPr="00D71D98" w:rsidRDefault="00784D43" w:rsidP="00784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Personálne výdavky pre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výkonných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pracovníkov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2841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NSRV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sebe zahŕňajú:</w:t>
      </w:r>
    </w:p>
    <w:p w:rsidR="00784D43" w:rsidRPr="00D71D98" w:rsidRDefault="00784D43" w:rsidP="00784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84D43" w:rsidRPr="00DF186E" w:rsidRDefault="00784D43" w:rsidP="00DF186E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6E">
        <w:rPr>
          <w:rFonts w:ascii="Times New Roman" w:hAnsi="Times New Roman" w:cs="Times New Roman"/>
          <w:color w:val="000000"/>
          <w:sz w:val="24"/>
          <w:szCs w:val="24"/>
        </w:rPr>
        <w:t xml:space="preserve">manažérske činnosti a organizačno-administratívne činnosti; </w:t>
      </w:r>
    </w:p>
    <w:p w:rsidR="00784D43" w:rsidRPr="00DF186E" w:rsidRDefault="00784D43" w:rsidP="00DF186E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6E">
        <w:rPr>
          <w:rFonts w:ascii="Times New Roman" w:hAnsi="Times New Roman" w:cs="Times New Roman"/>
          <w:color w:val="000000"/>
          <w:sz w:val="24"/>
          <w:szCs w:val="24"/>
        </w:rPr>
        <w:t>vypracovanie rozpočtu, zostavenie programu, pozvánky, dojednanie lektorov, priestorov, subdodávok, spropagovanie podujatia, otvorenie, uvedenie, vedenie a moderovanie podujatia, výber účastníkov, koordinácia a informovanie účastníkov, vyhodnotenie dotazníkov, spracovanie správy a</w:t>
      </w:r>
      <w:r w:rsidR="00DF18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86E">
        <w:rPr>
          <w:rFonts w:ascii="Times New Roman" w:hAnsi="Times New Roman" w:cs="Times New Roman"/>
          <w:color w:val="000000"/>
          <w:sz w:val="24"/>
          <w:szCs w:val="24"/>
        </w:rPr>
        <w:t>fotodokumentácie</w:t>
      </w:r>
      <w:r w:rsidR="00DF18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D43" w:rsidRPr="00DF186E" w:rsidRDefault="00784D43" w:rsidP="00784D43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6E">
        <w:rPr>
          <w:rFonts w:ascii="Times New Roman" w:hAnsi="Times New Roman" w:cs="Times New Roman"/>
          <w:color w:val="000000"/>
          <w:sz w:val="24"/>
          <w:szCs w:val="24"/>
        </w:rPr>
        <w:t xml:space="preserve">práce súvisiace s riadením, organizovaním, sledovaním čiastkových a celkových výsledkov (monitorovaním), hodnotením výsledkov, zabezpečením publicity a informovanosti a pod.; </w:t>
      </w:r>
    </w:p>
    <w:p w:rsidR="00EE5BDD" w:rsidRPr="00EE5BDD" w:rsidRDefault="00784D43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6E">
        <w:rPr>
          <w:rFonts w:ascii="Times New Roman" w:hAnsi="Times New Roman" w:cs="Times New Roman"/>
          <w:color w:val="000000"/>
          <w:sz w:val="24"/>
          <w:szCs w:val="24"/>
        </w:rPr>
        <w:t xml:space="preserve">publicitu </w:t>
      </w:r>
      <w:r w:rsidR="00EE5BDD" w:rsidRPr="00DF186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E5BDD" w:rsidRPr="00EE5BDD">
        <w:rPr>
          <w:rFonts w:ascii="Times New Roman" w:hAnsi="Times New Roman" w:cs="Times New Roman"/>
          <w:color w:val="000000"/>
          <w:sz w:val="24"/>
          <w:szCs w:val="24"/>
        </w:rPr>
        <w:t>poskytovanie poradenstva, informácií v oblasti rozvoja vidieka a poľnohospodárstva vrátane lesného hospodárstva pre širokú verejnosť v regiónoch;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 informácií o potrebách jednotlivých regiónov na vzdelávacie a informačné aktivity na regionálnej úrovni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 informácií potrebných k hodnoteniu PRV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  informácií, fotiek a videí  o projektoch financovanýc</w:t>
      </w:r>
      <w:r>
        <w:rPr>
          <w:rFonts w:ascii="Times New Roman" w:hAnsi="Times New Roman" w:cs="Times New Roman"/>
          <w:color w:val="000000"/>
          <w:sz w:val="24"/>
          <w:szCs w:val="24"/>
        </w:rPr>
        <w:t>h z PRV - Príklady dobrej praxe;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 podkladov pre vydávanie tlačovín a Spravodajcu NSRV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poskytovanie informácií pre </w:t>
      </w:r>
      <w:r>
        <w:rPr>
          <w:rFonts w:ascii="Times New Roman" w:hAnsi="Times New Roman" w:cs="Times New Roman"/>
          <w:color w:val="000000"/>
          <w:sz w:val="24"/>
          <w:szCs w:val="24"/>
        </w:rPr>
        <w:t>prijímateľov</w:t>
      </w: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 PRV prostredníctvom zria</w:t>
      </w:r>
      <w:r>
        <w:rPr>
          <w:rFonts w:ascii="Times New Roman" w:hAnsi="Times New Roman" w:cs="Times New Roman"/>
          <w:color w:val="000000"/>
          <w:sz w:val="24"/>
          <w:szCs w:val="24"/>
        </w:rPr>
        <w:t>denej web stránky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slúžiť ako kontaktný bod v rámci aktivít iniciatívy LEADER a CLLD pre MAS a pre všetkých vidieckych partnerov </w:t>
      </w:r>
      <w:r>
        <w:rPr>
          <w:rFonts w:ascii="Times New Roman" w:hAnsi="Times New Roman" w:cs="Times New Roman"/>
          <w:color w:val="000000"/>
          <w:sz w:val="24"/>
          <w:szCs w:val="24"/>
        </w:rPr>
        <w:t>a ich potenciálnych žiadateľov;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vypracovanie analýz a prieskumov na základe požiadaviek RO, resp. ENRD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spoluprác</w:t>
      </w:r>
      <w:r w:rsidR="00DF186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 s inými formálnymi a neformálnymi sieťami/centrami na národnej alebo regionálnej úrovni prispievajúcich k implementácii  EŠIF fondov v oblasti politiky rozvoja vidieka SR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5BDD" w:rsidRPr="00BF7CD1" w:rsidRDefault="00DF186E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E5BDD" w:rsidRPr="00BF7CD1">
        <w:rPr>
          <w:rFonts w:ascii="Times New Roman" w:hAnsi="Times New Roman" w:cs="Times New Roman"/>
          <w:color w:val="000000"/>
          <w:sz w:val="24"/>
          <w:szCs w:val="24"/>
        </w:rPr>
        <w:t>poluprác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E5BDD"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 s riadiacim orgánom pre PRV, Európskou sieťou pre rozvoj vidieka a sieťou Európske</w:t>
      </w:r>
      <w:r w:rsidR="00EE5BDD">
        <w:rPr>
          <w:rFonts w:ascii="Times New Roman" w:hAnsi="Times New Roman" w:cs="Times New Roman"/>
          <w:color w:val="000000"/>
          <w:sz w:val="24"/>
          <w:szCs w:val="24"/>
        </w:rPr>
        <w:t>ho Inovačného Partnerstva (EIP);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spoluprác</w:t>
      </w:r>
      <w:r w:rsidR="00DF186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 v oblasti vytvárania sietí miestnych akčných skupín a najmä technická pomoc pre spoluprácu medzi územnými celkami a pre nadnárodnú spoluprácu, uľahčenie spolupráce medzi miestnymi akčnými skupinami a vyhľadávanie partnerov pre opatrenie Spolupráca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5BDD" w:rsidRPr="00BF7CD1" w:rsidRDefault="00DF186E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spoluprácu</w:t>
      </w:r>
      <w:r w:rsidR="00EE5BDD"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 a výmen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E5BDD"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 informácií s ostatnými národnými vidieckymi sieťami</w:t>
      </w:r>
      <w:r w:rsidR="00EE5B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podpor</w:t>
      </w:r>
      <w:r w:rsidR="00DF186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 inovácií v poľnohospodárstve, výrobe potravín, lesnom hospodárstve a vo vidieckych oblastiach, zahŕňajúca tiež prenos informácií z aktivít siete EIP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5BDD" w:rsidRPr="00BF7CD1" w:rsidRDefault="00EE5BDD" w:rsidP="00EE5BD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zber, monitoring, hodnotenie a spolupráca s platobnou agentúrou na údajoch v oblasti rozvoja vidieka a Leader/CLLD pre potreby riadiaceho orgánu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D43" w:rsidRDefault="00784D43" w:rsidP="00784D43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6E">
        <w:rPr>
          <w:rFonts w:ascii="Times New Roman" w:hAnsi="Times New Roman" w:cs="Times New Roman"/>
          <w:color w:val="000000"/>
          <w:sz w:val="24"/>
          <w:szCs w:val="24"/>
        </w:rPr>
        <w:t>realizáciu verejného obstarávania, verejnej obchodnej súťaže, prieskumu trhu;</w:t>
      </w:r>
    </w:p>
    <w:p w:rsidR="00DF186E" w:rsidRPr="004E3DDA" w:rsidRDefault="00784D43" w:rsidP="004E3DD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DDA">
        <w:rPr>
          <w:rFonts w:ascii="Times New Roman" w:hAnsi="Times New Roman" w:cs="Times New Roman"/>
          <w:color w:val="000000"/>
          <w:sz w:val="24"/>
          <w:szCs w:val="24"/>
        </w:rPr>
        <w:t>kontrolu a odborný dohľad;</w:t>
      </w:r>
      <w:r w:rsidR="00DF186E" w:rsidRPr="004E3D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poskytovanie informácií pre prijímateľov PRV prostredníctvom zriadenej web stránky;</w:t>
      </w:r>
    </w:p>
    <w:p w:rsidR="004E3DDA" w:rsidRPr="004E3DDA" w:rsidRDefault="004E3DDA" w:rsidP="004E3DD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D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zber  informácií, fotiek a videí  o projektoch a podujatiach financovaných z PRV;</w:t>
      </w:r>
    </w:p>
    <w:p w:rsidR="004E3DDA" w:rsidRPr="004E3DDA" w:rsidRDefault="004E3DDA" w:rsidP="004E3DD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D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zber podkladov pre vydávanie tlačovín;</w:t>
      </w:r>
    </w:p>
    <w:p w:rsidR="004E3DDA" w:rsidRPr="004E3DDA" w:rsidRDefault="004E3DDA" w:rsidP="004E3DD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D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vedenie vozidla využívaného personálom zabezpečujúcim vyššie uvedené práce; </w:t>
      </w:r>
    </w:p>
    <w:p w:rsidR="004E3DDA" w:rsidRPr="00D71D98" w:rsidRDefault="004E3DDA" w:rsidP="004E3DDA">
      <w:pPr>
        <w:pStyle w:val="Odsekzoznamu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84D43" w:rsidRPr="00D71D98" w:rsidRDefault="00784D43" w:rsidP="00784D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Personálne výdavky </w:t>
      </w:r>
      <w:r w:rsidR="004E3DDA" w:rsidRPr="004E3D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EE5BDD" w:rsidRPr="004E3D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C59A6" w:rsidRPr="004E3D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podporná</w:t>
      </w:r>
      <w:r w:rsidR="00EC5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EC59A6" w:rsidRPr="00EE5B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administratíva a účtovníctvo</w:t>
      </w:r>
      <w:r w:rsidR="00EC59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(výpočet predpokladanej mzdy vychádza ako polovičný úväzok </w:t>
      </w:r>
      <w:r w:rsidR="002072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realizovaný </w:t>
      </w:r>
      <w:r w:rsidR="00EC59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formou trvalého pracovného pomeru, alebo R</w:t>
      </w:r>
      <w:r w:rsidR="002841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NSRV</w:t>
      </w:r>
      <w:r w:rsidR="002072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</w:t>
      </w:r>
      <w:r w:rsidR="00EC59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využiť pre tieto služby aj externého zamestnanca, avšak počíta sa s</w:t>
      </w:r>
      <w:r w:rsidR="002072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takou istou</w:t>
      </w:r>
      <w:r w:rsidR="00EC59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sum</w:t>
      </w:r>
      <w:r w:rsidR="002072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ou,</w:t>
      </w:r>
      <w:r w:rsidR="00EC59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072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aká je uvedená aj v tabuľke – viď nižšie</w:t>
      </w:r>
      <w:r w:rsidR="00EC59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 P</w:t>
      </w:r>
      <w:r w:rsidR="00EC59A6" w:rsidRPr="004E3D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odporná</w:t>
      </w:r>
      <w:r w:rsidR="00EC5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EC59A6" w:rsidRPr="00EE5B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administratíva a účtovníctvo</w:t>
      </w:r>
      <w:r w:rsidR="00EC59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sebe zahŕňa:</w:t>
      </w:r>
    </w:p>
    <w:p w:rsidR="00EE5BDD" w:rsidRPr="00EE5BDD" w:rsidRDefault="00EE5BDD" w:rsidP="00EE5BDD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E5B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zabezpečenie účtovnej evidencie a hospodárenia s finančnými prostriedkami a majetkom R</w:t>
      </w:r>
      <w:r w:rsidR="002841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EE5B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NSRV a zodpovednosť za správnosť účtovnej evidencie;</w:t>
      </w:r>
    </w:p>
    <w:p w:rsidR="004E3DDA" w:rsidRPr="00DF186E" w:rsidRDefault="004E3DDA" w:rsidP="004E3DDA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6E">
        <w:rPr>
          <w:rFonts w:ascii="Times New Roman" w:hAnsi="Times New Roman" w:cs="Times New Roman"/>
          <w:color w:val="000000"/>
          <w:sz w:val="24"/>
          <w:szCs w:val="24"/>
        </w:rPr>
        <w:t xml:space="preserve">sledovanie čerpania rozpočtu; </w:t>
      </w:r>
    </w:p>
    <w:p w:rsidR="00EE5BDD" w:rsidRDefault="00EE5BDD" w:rsidP="00EE5BDD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E5B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organizačno-administratívne činnosti (výberové konania, objednávky, zmluvy, dohody, prihlásenie do poisťovní, príprava dotazníkov, rozposlanie pozvánok a prihlášok, registrácia účastníkov, prezenčné listiny, publicita počas aktivity, distribúcia materiálov, evidencia príjemcov,  informovanie na webe, prezencia na podujatí, zverejnenie pozvánky a správy na webe, faktúrach - dodacie listy, zúčtovanie nákladov – účtovníctvo, vyúčtovanie podujatia, zaslanie vyúčtovania a správy na CJ)</w:t>
      </w:r>
    </w:p>
    <w:p w:rsidR="004E3DDA" w:rsidRDefault="004E3DDA" w:rsidP="004E3DDA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vedenie agendy personalistiky a miezd;</w:t>
      </w:r>
    </w:p>
    <w:p w:rsidR="004E3DDA" w:rsidRPr="00D71D98" w:rsidRDefault="004E3DDA" w:rsidP="004E3DDA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zabezpečenie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každodenn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ej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prevádzk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administratívn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ej činnosť R</w:t>
      </w:r>
      <w:r w:rsidR="002841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NSRV, vedenie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evidenci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predpísan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ej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archiváci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podkladov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ých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materiál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zasadnutia jednotlivých orgánov a pod.</w:t>
      </w:r>
    </w:p>
    <w:p w:rsidR="004E3DDA" w:rsidRDefault="004E3DDA" w:rsidP="004E3DDA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organizačné zabezpečenie aktivít; </w:t>
      </w:r>
    </w:p>
    <w:p w:rsidR="004E3DDA" w:rsidRPr="00BF7CD1" w:rsidRDefault="004E3DDA" w:rsidP="004E3DDA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realizácia dotazníkových prieskumov a podkladov k analýzam na základe požiadavky RO,  resp. ENRD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D43" w:rsidRPr="00D71D98" w:rsidRDefault="00784D43" w:rsidP="00784D43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zabezpečenie hygieny (upratovanie, čistenie a pod.); </w:t>
      </w:r>
    </w:p>
    <w:p w:rsidR="00784D43" w:rsidRPr="00D71D98" w:rsidRDefault="00784D43" w:rsidP="00784D43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opravy a údržbu majetku využívaného pre účely projektu; </w:t>
      </w:r>
    </w:p>
    <w:p w:rsidR="00784D43" w:rsidRPr="00994B20" w:rsidRDefault="00784D43" w:rsidP="007C3FC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0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1440"/>
        <w:gridCol w:w="4220"/>
      </w:tblGrid>
      <w:tr w:rsidR="007C3FCA" w:rsidRPr="007C3FCA" w:rsidTr="007C3FC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Personálne výdavky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C3FCA" w:rsidRPr="007C3FCA" w:rsidTr="007C3FC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84D43" w:rsidP="0028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Personálne výdavky pre </w:t>
            </w:r>
            <w:r w:rsidR="007C3FCA"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výkonných</w:t>
            </w:r>
            <w:r w:rsidR="007C3FCA"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pracovníkov R</w:t>
            </w:r>
            <w:r w:rsidR="0028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NSRV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33 600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Vypočítané na základe priemernej hrubej mzdy v národnom hospodárstve - verejná správa (Q2 2014 = 1 036 EUR + odvody). Suma bez stravného a cestovného.</w:t>
            </w:r>
          </w:p>
        </w:tc>
      </w:tr>
      <w:tr w:rsidR="008174D6" w:rsidRPr="007C3FCA" w:rsidTr="007C3FC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D6" w:rsidRPr="007C3FCA" w:rsidRDefault="008174D6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6" w:rsidRPr="007C3FCA" w:rsidRDefault="008174D6" w:rsidP="00EC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Personá</w:t>
            </w: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lne 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ý</w:t>
            </w: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davky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podporná </w:t>
            </w: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administratíva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 účtovníctvo (</w:t>
            </w:r>
            <w:r w:rsidR="00EC5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interný zamestnanec, alebo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externí zamestnanci/dodávatelia)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6" w:rsidRPr="00EC59A6" w:rsidRDefault="008174D6" w:rsidP="00EC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C5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8 404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6" w:rsidRDefault="008174D6" w:rsidP="00F20F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Vypočítané na základe priemernej hrubej mzdy v národnom hospodárstve - verejná správa (Q2 2014 = 1 036 EUR + odvody </w:t>
            </w:r>
            <w:r w:rsidR="00F2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Pr="00EC5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2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 výšky </w:t>
            </w:r>
            <w:r w:rsidRPr="00EC5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polovičn</w:t>
            </w:r>
            <w:r w:rsidR="00F2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ého</w:t>
            </w:r>
            <w:r w:rsidRPr="00EC5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úväzk</w:t>
            </w:r>
            <w:r w:rsidR="00F20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</w:t>
            </w:r>
            <w:r w:rsidRPr="00EC5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). Suma bez stravného a cestovného.</w:t>
            </w:r>
          </w:p>
        </w:tc>
      </w:tr>
      <w:tr w:rsidR="007C3FCA" w:rsidRPr="007C3FCA" w:rsidTr="007C3F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Stravné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   831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Minimálna hodnota stravného lístka 3 EUR, 55% náklady pre zamestnávateľa - 2 </w:t>
            </w:r>
            <w:r w:rsidR="00725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výkonní </w:t>
            </w: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zamestnanci, 21pracovných dní/mesiac, 12 mesiacov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IKT - pripojenie, prevádzka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8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Internetov</w:t>
            </w:r>
            <w:r w:rsidR="00784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é</w:t>
            </w: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pripojenie (kancelária)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240,00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20EUR/mesiac</w:t>
            </w:r>
          </w:p>
        </w:tc>
      </w:tr>
      <w:tr w:rsidR="007C3FCA" w:rsidRPr="007C3FCA" w:rsidTr="007C3F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Poplatky za mobilný paušál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1 080,00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 EUR/mesiac/1osoba - v cene je zahrnutý aj poplatok za mobilný telefón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8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Pevná linka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120,00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10EUR/mesiac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Tvorba webu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71,43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500 EUR/ celé obdobie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Administrácia webu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600,00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50EUR/mesiac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Pošta a iné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Poštovné, kuriér, kolky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120,00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10EUR/mesiac</w:t>
            </w:r>
          </w:p>
        </w:tc>
      </w:tr>
      <w:tr w:rsidR="007C3FCA" w:rsidRPr="007C3FCA" w:rsidTr="007C3F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Notárske overenia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30,00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cena jedného overeného podpisu cca 3 EUR, 10 overení na rok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84D43" w:rsidP="007C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Ná</w:t>
            </w:r>
            <w:r w:rsidR="007C3FCA"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kup vybavenia </w:t>
            </w:r>
            <w:proofErr w:type="spellStart"/>
            <w:r w:rsidR="007C3FCA"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kancelarie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84D43" w:rsidP="0078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Kancelá</w:t>
            </w:r>
            <w:r w:rsidR="007C3FCA"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rsky 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ô</w:t>
            </w:r>
            <w:r w:rsidR="007C3FCA"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57,14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200EUR/stol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84D43" w:rsidP="0078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Kancelá</w:t>
            </w:r>
            <w:r w:rsidR="007C3FCA"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rska stoli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</w:t>
            </w:r>
            <w:r w:rsidR="007C3FCA"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28,57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100EUR/stol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Skrinka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42,86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150EUR/skrinka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157,14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550EUR/notebook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Tlačiareň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21,43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laserova</w:t>
            </w:r>
            <w:proofErr w:type="spellEnd"/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240,00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30EUR/toner, celkovo výmena tonera 8 krát za rok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Papier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100,00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cca 5 EUR/1 balík (500ks)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Software</w:t>
            </w:r>
            <w:r w:rsidR="00784D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+</w:t>
            </w:r>
            <w:r w:rsidR="00784D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obnova licencii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Microsoft Windows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200,00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100EUR/1PC.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Microsoft Office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200,00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100EUR/1 PC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ESET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30,00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15EUR/1PC/rok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480,00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20EUR/mesiac/osoba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C3FCA" w:rsidRPr="007C3FCA" w:rsidTr="007C3F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Prenájom kancelárskeho priestoru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2 907,13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vypocitane</w:t>
            </w:r>
            <w:proofErr w:type="spellEnd"/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na 26m2 priestoru/rok</w:t>
            </w:r>
          </w:p>
        </w:tc>
      </w:tr>
      <w:tr w:rsidR="007C3FCA" w:rsidRPr="007C3FCA" w:rsidTr="007C3F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A" w:rsidRPr="007C3FCA" w:rsidRDefault="007C3FCA" w:rsidP="007C3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Energie a údržba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960,00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CA" w:rsidRPr="007C3FCA" w:rsidRDefault="007C3FCA" w:rsidP="007C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80EUR/mesiac</w:t>
            </w:r>
          </w:p>
        </w:tc>
      </w:tr>
    </w:tbl>
    <w:p w:rsidR="007C3FCA" w:rsidRDefault="007C3FCA" w:rsidP="00571A6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0FD4" w:rsidRDefault="00F20FD4" w:rsidP="00571A6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0FD4" w:rsidRPr="0040737C" w:rsidRDefault="00F20FD4" w:rsidP="00F20F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>Pre výpočet pomeru priamych a nepriamych výdavkov (sadzbu nepriamych výdavkov) bol použitý nasledovný algoritmus:</w:t>
      </w:r>
    </w:p>
    <w:p w:rsidR="00F20FD4" w:rsidRPr="0040737C" w:rsidRDefault="00F20FD4" w:rsidP="00F20F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0FD4" w:rsidRPr="0040737C" w:rsidRDefault="00F20FD4" w:rsidP="00F20F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F10916">
        <w:rPr>
          <w:rFonts w:ascii="Times New Roman" w:hAnsi="Times New Roman" w:cs="Times New Roman"/>
          <w:sz w:val="24"/>
          <w:szCs w:val="24"/>
        </w:rPr>
        <w:t>priemerná ∑ režijných výdavkov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8B1826">
        <w:rPr>
          <w:rFonts w:ascii="Times New Roman" w:hAnsi="Times New Roman" w:cs="Times New Roman"/>
          <w:sz w:val="24"/>
          <w:szCs w:val="24"/>
        </w:rPr>
        <w:t xml:space="preserve">chod 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</w:t>
      </w:r>
    </w:p>
    <w:p w:rsidR="00F20FD4" w:rsidRPr="0040737C" w:rsidRDefault="00F20FD4" w:rsidP="00F20F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</w:p>
    <w:p w:rsidR="00F20FD4" w:rsidRPr="0040737C" w:rsidRDefault="00F20FD4" w:rsidP="00F20FD4">
      <w:pPr>
        <w:tabs>
          <w:tab w:val="left" w:pos="7300"/>
          <w:tab w:val="left" w:pos="770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23073" wp14:editId="5FA9A42F">
                <wp:simplePos x="0" y="0"/>
                <wp:positionH relativeFrom="column">
                  <wp:posOffset>2862580</wp:posOffset>
                </wp:positionH>
                <wp:positionV relativeFrom="paragraph">
                  <wp:posOffset>34290</wp:posOffset>
                </wp:positionV>
                <wp:extent cx="2352675" cy="20956"/>
                <wp:effectExtent l="0" t="0" r="28575" b="3619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209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225.4pt;margin-top:2.7pt;width:185.25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HjQQIAAFkEAAAOAAAAZHJzL2Uyb0RvYy54bWysVEtu2zAQ3RfoHQjuHX38SSxYDgrJ7iZt&#10;jSbtniYpiw3FIUjGslH0MDlATxH0XiVpx43bTVFUC2qo4bx5M/Oo2fWuk2jLjRWgSpxdpBhxRYEJ&#10;tSnxp7vl4Aoj64hiRILiJd5zi6/nr1/Nel3wHFqQjBvkQZQtel3i1jldJImlLe+IvQDNlXc2YDri&#10;/NZsEmZI79E7meRpOkl6MEwboNxa/7U+OPE84jcNp+5D01jukCyx5+biauK6Dmsyn5FiY4huBT3S&#10;IP/AoiNC+aQnqJo4gh6M+AOqE9SAhcZdUOgSaBpBeazBV5Olv1Vz2xLNYy2+OVaf2mT/Hyx9v10Z&#10;JFiJhxgp0vkRfYStenpEVsMX2BIqCPrx+PRd3xM0DO3qtS18VKVWJhRMd+pW3wC9t0hB1RK14ZH2&#10;3V57rCxEJGchYWO1T7ru3wHzZ8iDg9i7XWM61EihP4fAAO77g3ZxWPvTsPjOIeo/5sNxPrkcY0S9&#10;L0+n40nMRYoAE4K1se4thw4Fo8TWGSI2ratAKS8LMIcUZHtjXSD5KyAEK1gKKaM6pEJ9iafjfBw5&#10;WZCCBWc4Zs1mXUmDtiToKz5HFmfHDDwoFsFaTtjiaDsi5MH2yaUKeL44T+doHQT0dZpOF1eLq9Fg&#10;lE8Wg1Fa14M3y2o0mCyzy3E9rKuqzr4FatmoaAVjXAV2z2LORn8nluO1OsjwJOdTG5Jz9NgvT/b5&#10;HUnHOYfRHkSyBrZfmef5e/3Gw8e7Fi7Iy723X/4R5j8BAAD//wMAUEsDBBQABgAIAAAAIQDNwK75&#10;3QAAAAcBAAAPAAAAZHJzL2Rvd25yZXYueG1sTM7BTsMwDAbgOxLvEBmJG0s3uq0qTacJCcQBVdqA&#10;e9aYtlvjdE3Wdm+POcHN1m/9/rLNZFsxYO8bRwrmswgEUulMQ5WCz4+XhwSED5qMbh2hgit62OS3&#10;N5lOjRtph8M+VIJLyKdaQR1Cl0rpyxqt9jPXIXH27XqrA699JU2vRy63rVxE0Upa3RB/qHWHzzWW&#10;p/3FKjjT+voVyyE5FkVYvb69V4TFqNT93bR9AhFwCn/H8MtnOuRsOrgLGS9aBfEyYnpQsIxBcJ4s&#10;5o8gDjysQeaZ/O/PfwAAAP//AwBQSwECLQAUAAYACAAAACEAtoM4kv4AAADhAQAAEwAAAAAAAAAA&#10;AAAAAAAAAAAAW0NvbnRlbnRfVHlwZXNdLnhtbFBLAQItABQABgAIAAAAIQA4/SH/1gAAAJQBAAAL&#10;AAAAAAAAAAAAAAAAAC8BAABfcmVscy8ucmVsc1BLAQItABQABgAIAAAAIQDBIGHjQQIAAFkEAAAO&#10;AAAAAAAAAAAAAAAAAC4CAABkcnMvZTJvRG9jLnhtbFBLAQItABQABgAIAAAAIQDNwK753QAAAAcB&#10;AAAPAAAAAAAAAAAAAAAAAJsEAABkcnMvZG93bnJldi54bWxQSwUGAAAAAAQABADzAAAApQUAAAAA&#10;"/>
            </w:pict>
          </mc:Fallback>
        </mc:AlternateContent>
      </w:r>
      <w:r w:rsidRPr="0040737C">
        <w:rPr>
          <w:rFonts w:ascii="Times New Roman" w:hAnsi="Times New Roman" w:cs="Times New Roman"/>
          <w:sz w:val="24"/>
          <w:szCs w:val="24"/>
        </w:rPr>
        <w:t xml:space="preserve"> Sadzba nepriamych výdavkov (%)   =      </w:t>
      </w:r>
      <w:r w:rsidRPr="0040737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737C">
        <w:rPr>
          <w:rFonts w:ascii="Times New Roman" w:hAnsi="Times New Roman" w:cs="Times New Roman"/>
          <w:sz w:val="24"/>
          <w:szCs w:val="24"/>
        </w:rPr>
        <w:t xml:space="preserve"> x  100</w:t>
      </w:r>
      <w:r w:rsidRPr="0040737C">
        <w:rPr>
          <w:rFonts w:ascii="Times New Roman" w:hAnsi="Times New Roman" w:cs="Times New Roman"/>
          <w:sz w:val="24"/>
          <w:szCs w:val="24"/>
        </w:rPr>
        <w:tab/>
      </w:r>
    </w:p>
    <w:p w:rsidR="00F20FD4" w:rsidRPr="0040737C" w:rsidRDefault="00F20FD4" w:rsidP="00F20F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10916">
        <w:rPr>
          <w:rFonts w:ascii="Times New Roman" w:hAnsi="Times New Roman" w:cs="Times New Roman"/>
          <w:sz w:val="24"/>
          <w:szCs w:val="24"/>
        </w:rPr>
        <w:t>priemerná ∑ priamych výdavkov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. výdavky)</w:t>
      </w:r>
      <w:r w:rsidRPr="00F1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D4" w:rsidRPr="0040737C" w:rsidRDefault="00F20FD4" w:rsidP="00F20F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ab/>
      </w:r>
    </w:p>
    <w:p w:rsidR="00F20FD4" w:rsidRPr="00A8783F" w:rsidRDefault="00F20FD4" w:rsidP="00F20FD4">
      <w:pPr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37C">
        <w:rPr>
          <w:rFonts w:ascii="Times New Roman" w:hAnsi="Times New Roman" w:cs="Times New Roman"/>
          <w:bCs/>
          <w:iCs/>
          <w:sz w:val="24"/>
          <w:szCs w:val="24"/>
        </w:rPr>
        <w:t xml:space="preserve">Pomer nepriamych 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výdavkov na priamych výdavkoch projektu na základe analýzy podľa vyššie uvedeného algoritmu je po zaokrúhlení </w:t>
      </w:r>
      <w:r w:rsidRPr="008B1826">
        <w:rPr>
          <w:rFonts w:ascii="Times New Roman" w:hAnsi="Times New Roman" w:cs="Times New Roman"/>
          <w:b/>
          <w:bCs/>
          <w:iCs/>
          <w:sz w:val="24"/>
          <w:szCs w:val="24"/>
        </w:rPr>
        <w:t>18 %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>. Vypočítaný pomer môžeme považovať za sadzbu nepriamych výdavkov, ktorú je možné uplatniť pri paušálnej sadzbe nepriamych výdavkov na chod R</w:t>
      </w:r>
      <w:r w:rsidR="003031C8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NSRV.</w:t>
      </w:r>
    </w:p>
    <w:p w:rsidR="00F20FD4" w:rsidRPr="008B1826" w:rsidRDefault="00F20FD4" w:rsidP="00F20FD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1826">
        <w:rPr>
          <w:rFonts w:ascii="Times New Roman" w:hAnsi="Times New Roman" w:cs="Times New Roman"/>
          <w:bCs/>
          <w:iCs/>
          <w:sz w:val="24"/>
          <w:szCs w:val="24"/>
        </w:rPr>
        <w:t>Výsledkom analýzy je:</w:t>
      </w:r>
    </w:p>
    <w:p w:rsidR="00F20FD4" w:rsidRPr="008B1826" w:rsidRDefault="00F20FD4" w:rsidP="00F20FD4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určená </w:t>
      </w:r>
      <w:r w:rsidRPr="008B1826">
        <w:rPr>
          <w:rFonts w:ascii="Times New Roman" w:hAnsi="Times New Roman" w:cs="Times New Roman"/>
          <w:b/>
          <w:bCs/>
          <w:iCs/>
          <w:sz w:val="24"/>
          <w:szCs w:val="24"/>
        </w:rPr>
        <w:t>maximálna suma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na personálne zabezpečenie chodu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0800"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NSRV 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(vrátane stravného), ktorá môže byť nárokovaná/refundovaná vo výške </w:t>
      </w:r>
      <w:r w:rsidRPr="008B1826">
        <w:rPr>
          <w:rFonts w:ascii="Times New Roman" w:hAnsi="Times New Roman" w:cs="Times New Roman"/>
          <w:b/>
          <w:bCs/>
          <w:iCs/>
          <w:sz w:val="24"/>
          <w:szCs w:val="24"/>
        </w:rPr>
        <w:t>42 900,00 EUR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1826">
        <w:rPr>
          <w:rFonts w:ascii="Times New Roman" w:hAnsi="Times New Roman" w:cs="Times New Roman"/>
          <w:b/>
          <w:bCs/>
          <w:iCs/>
          <w:sz w:val="24"/>
          <w:szCs w:val="24"/>
        </w:rPr>
        <w:t>za rok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20FD4" w:rsidRPr="008B1826" w:rsidRDefault="00F20FD4" w:rsidP="00F20FD4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182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paušálna sadzba do výšky </w:t>
      </w:r>
      <w:r w:rsidRPr="008B1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18% 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>oprávnených priamych (personálnych) výdavkov na nepriame výdavky a iné výdavky súvisiace s chodom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 (okrem personálnych výdavkov zabezpečujúce chod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NSRV);</w:t>
      </w:r>
    </w:p>
    <w:p w:rsidR="00F20FD4" w:rsidRPr="00E77958" w:rsidRDefault="00F20FD4" w:rsidP="00F20FD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Uvedená maximálna suma priamych výdavkov a uplatnenie sadzby pre 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>paušálne financovanie nepriamych výdavkov bude postačovať na zabezpečenie prevádzkových nákladov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 vrátane personálneho obsadenia a n</w:t>
      </w:r>
      <w:bookmarkStart w:id="1" w:name="_GoBack"/>
      <w:bookmarkEnd w:id="1"/>
      <w:r w:rsidRPr="008B1826">
        <w:rPr>
          <w:rFonts w:ascii="Times New Roman" w:hAnsi="Times New Roman" w:cs="Times New Roman"/>
          <w:bCs/>
          <w:iCs/>
          <w:sz w:val="24"/>
          <w:szCs w:val="24"/>
        </w:rPr>
        <w:t>ásledné plnenie úloh, ktoré má R</w:t>
      </w:r>
      <w:r w:rsidR="00284175" w:rsidRPr="008B182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B1826">
        <w:rPr>
          <w:rFonts w:ascii="Times New Roman" w:hAnsi="Times New Roman" w:cs="Times New Roman"/>
          <w:bCs/>
          <w:iCs/>
          <w:sz w:val="24"/>
          <w:szCs w:val="24"/>
        </w:rPr>
        <w:t xml:space="preserve"> NSRV realizovať v programovom období PRV SR 2014 – 2020.</w:t>
      </w:r>
      <w:r w:rsidRPr="002D18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20FD4" w:rsidRPr="00F84A7A" w:rsidRDefault="00F20FD4" w:rsidP="00F20FD4">
      <w:pPr>
        <w:pStyle w:val="Default"/>
        <w:ind w:firstLine="708"/>
        <w:jc w:val="both"/>
      </w:pPr>
      <w:r w:rsidRPr="0040737C">
        <w:tab/>
      </w:r>
    </w:p>
    <w:p w:rsidR="00F20FD4" w:rsidRPr="0040737C" w:rsidRDefault="00F20FD4" w:rsidP="00571A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0FD4" w:rsidRPr="0040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D27"/>
    <w:multiLevelType w:val="multilevel"/>
    <w:tmpl w:val="2FB8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7004"/>
    <w:multiLevelType w:val="hybridMultilevel"/>
    <w:tmpl w:val="38FA2D66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14E"/>
    <w:multiLevelType w:val="hybridMultilevel"/>
    <w:tmpl w:val="C1AED87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317077"/>
    <w:multiLevelType w:val="hybridMultilevel"/>
    <w:tmpl w:val="8E0AB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613E"/>
    <w:multiLevelType w:val="hybridMultilevel"/>
    <w:tmpl w:val="3B5A7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27E9"/>
    <w:multiLevelType w:val="hybridMultilevel"/>
    <w:tmpl w:val="1D7EE54C"/>
    <w:lvl w:ilvl="0" w:tplc="3CB080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5DAD"/>
    <w:multiLevelType w:val="hybridMultilevel"/>
    <w:tmpl w:val="1706A758"/>
    <w:lvl w:ilvl="0" w:tplc="041B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1C00C51"/>
    <w:multiLevelType w:val="hybridMultilevel"/>
    <w:tmpl w:val="8E0AB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256E"/>
    <w:multiLevelType w:val="hybridMultilevel"/>
    <w:tmpl w:val="312E1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356CA"/>
    <w:multiLevelType w:val="hybridMultilevel"/>
    <w:tmpl w:val="DCF09D0A"/>
    <w:lvl w:ilvl="0" w:tplc="F2426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B75561"/>
    <w:multiLevelType w:val="hybridMultilevel"/>
    <w:tmpl w:val="2CF40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AB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26D37"/>
    <w:multiLevelType w:val="hybridMultilevel"/>
    <w:tmpl w:val="5344BB8C"/>
    <w:lvl w:ilvl="0" w:tplc="6ED8B468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E1554C"/>
    <w:multiLevelType w:val="hybridMultilevel"/>
    <w:tmpl w:val="05B8E7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B2C7B"/>
    <w:multiLevelType w:val="hybridMultilevel"/>
    <w:tmpl w:val="AA981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D0773"/>
    <w:multiLevelType w:val="hybridMultilevel"/>
    <w:tmpl w:val="A7249B0E"/>
    <w:lvl w:ilvl="0" w:tplc="661C953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A180A7A"/>
    <w:multiLevelType w:val="hybridMultilevel"/>
    <w:tmpl w:val="51C09F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A0F34"/>
    <w:multiLevelType w:val="hybridMultilevel"/>
    <w:tmpl w:val="FF62FD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35313"/>
    <w:multiLevelType w:val="hybridMultilevel"/>
    <w:tmpl w:val="60809AB2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4DD3339"/>
    <w:multiLevelType w:val="hybridMultilevel"/>
    <w:tmpl w:val="C4AC6B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45075"/>
    <w:multiLevelType w:val="hybridMultilevel"/>
    <w:tmpl w:val="489E2DAA"/>
    <w:lvl w:ilvl="0" w:tplc="6ED8B468">
      <w:numFmt w:val="bullet"/>
      <w:lvlText w:val="–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64ED2A43"/>
    <w:multiLevelType w:val="hybridMultilevel"/>
    <w:tmpl w:val="9C64202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5"/>
  </w:num>
  <w:num w:numId="5">
    <w:abstractNumId w:val="5"/>
  </w:num>
  <w:num w:numId="6">
    <w:abstractNumId w:val="19"/>
  </w:num>
  <w:num w:numId="7">
    <w:abstractNumId w:val="1"/>
  </w:num>
  <w:num w:numId="8">
    <w:abstractNumId w:val="9"/>
  </w:num>
  <w:num w:numId="9">
    <w:abstractNumId w:val="11"/>
  </w:num>
  <w:num w:numId="10">
    <w:abstractNumId w:val="14"/>
  </w:num>
  <w:num w:numId="11">
    <w:abstractNumId w:val="12"/>
  </w:num>
  <w:num w:numId="12">
    <w:abstractNumId w:val="4"/>
  </w:num>
  <w:num w:numId="13">
    <w:abstractNumId w:val="20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6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B4"/>
    <w:rsid w:val="00002086"/>
    <w:rsid w:val="000061B4"/>
    <w:rsid w:val="000306A2"/>
    <w:rsid w:val="00033419"/>
    <w:rsid w:val="00046393"/>
    <w:rsid w:val="000523F5"/>
    <w:rsid w:val="00094B3C"/>
    <w:rsid w:val="000B1697"/>
    <w:rsid w:val="000C0E08"/>
    <w:rsid w:val="00133B24"/>
    <w:rsid w:val="00147E7B"/>
    <w:rsid w:val="0015422C"/>
    <w:rsid w:val="00166AED"/>
    <w:rsid w:val="001673BF"/>
    <w:rsid w:val="001B1BDC"/>
    <w:rsid w:val="001D0800"/>
    <w:rsid w:val="002072D3"/>
    <w:rsid w:val="00253F77"/>
    <w:rsid w:val="00256F82"/>
    <w:rsid w:val="0025747E"/>
    <w:rsid w:val="00284175"/>
    <w:rsid w:val="0029692F"/>
    <w:rsid w:val="002B7B42"/>
    <w:rsid w:val="002C6E7F"/>
    <w:rsid w:val="002F5EF7"/>
    <w:rsid w:val="003031C8"/>
    <w:rsid w:val="003078C1"/>
    <w:rsid w:val="003101FE"/>
    <w:rsid w:val="00311D20"/>
    <w:rsid w:val="00312132"/>
    <w:rsid w:val="0031786F"/>
    <w:rsid w:val="00357FA7"/>
    <w:rsid w:val="00375CA5"/>
    <w:rsid w:val="003963FD"/>
    <w:rsid w:val="003B1F1D"/>
    <w:rsid w:val="003C4FDB"/>
    <w:rsid w:val="003D2519"/>
    <w:rsid w:val="0040737C"/>
    <w:rsid w:val="004932A8"/>
    <w:rsid w:val="004932F5"/>
    <w:rsid w:val="0049397A"/>
    <w:rsid w:val="004C4E73"/>
    <w:rsid w:val="004D210C"/>
    <w:rsid w:val="004E3DDA"/>
    <w:rsid w:val="00514498"/>
    <w:rsid w:val="00520DB2"/>
    <w:rsid w:val="005452B9"/>
    <w:rsid w:val="00545C08"/>
    <w:rsid w:val="00547586"/>
    <w:rsid w:val="00571A66"/>
    <w:rsid w:val="00582687"/>
    <w:rsid w:val="0059690C"/>
    <w:rsid w:val="006216E3"/>
    <w:rsid w:val="00622A9F"/>
    <w:rsid w:val="006813C0"/>
    <w:rsid w:val="00694DD5"/>
    <w:rsid w:val="006A7BEC"/>
    <w:rsid w:val="006B22F7"/>
    <w:rsid w:val="006C35F8"/>
    <w:rsid w:val="006D3CC0"/>
    <w:rsid w:val="006F35F7"/>
    <w:rsid w:val="00710524"/>
    <w:rsid w:val="007255FC"/>
    <w:rsid w:val="0073686D"/>
    <w:rsid w:val="007369D8"/>
    <w:rsid w:val="00741892"/>
    <w:rsid w:val="0074434D"/>
    <w:rsid w:val="007606AE"/>
    <w:rsid w:val="00784D43"/>
    <w:rsid w:val="007A3AF7"/>
    <w:rsid w:val="007C39CC"/>
    <w:rsid w:val="007C3FCA"/>
    <w:rsid w:val="007C4983"/>
    <w:rsid w:val="007F0AE7"/>
    <w:rsid w:val="008174D6"/>
    <w:rsid w:val="008613DA"/>
    <w:rsid w:val="00863208"/>
    <w:rsid w:val="0088738D"/>
    <w:rsid w:val="00893B40"/>
    <w:rsid w:val="00897029"/>
    <w:rsid w:val="008A0433"/>
    <w:rsid w:val="008B1826"/>
    <w:rsid w:val="008B4F32"/>
    <w:rsid w:val="008B6704"/>
    <w:rsid w:val="009376ED"/>
    <w:rsid w:val="009379F5"/>
    <w:rsid w:val="009572F4"/>
    <w:rsid w:val="00990079"/>
    <w:rsid w:val="00994B20"/>
    <w:rsid w:val="0099767F"/>
    <w:rsid w:val="009D1095"/>
    <w:rsid w:val="009D1504"/>
    <w:rsid w:val="009E2FF1"/>
    <w:rsid w:val="00A15D5E"/>
    <w:rsid w:val="00A57292"/>
    <w:rsid w:val="00A648F9"/>
    <w:rsid w:val="00A65F31"/>
    <w:rsid w:val="00A752FE"/>
    <w:rsid w:val="00AA0060"/>
    <w:rsid w:val="00AD4FE2"/>
    <w:rsid w:val="00AE6BB1"/>
    <w:rsid w:val="00B42805"/>
    <w:rsid w:val="00B5320B"/>
    <w:rsid w:val="00B932BC"/>
    <w:rsid w:val="00BD1240"/>
    <w:rsid w:val="00BE329A"/>
    <w:rsid w:val="00BF7CD1"/>
    <w:rsid w:val="00C205DD"/>
    <w:rsid w:val="00C261AE"/>
    <w:rsid w:val="00C307FD"/>
    <w:rsid w:val="00C90677"/>
    <w:rsid w:val="00C93A16"/>
    <w:rsid w:val="00CB14A8"/>
    <w:rsid w:val="00CD778A"/>
    <w:rsid w:val="00CE5626"/>
    <w:rsid w:val="00D3434A"/>
    <w:rsid w:val="00D73892"/>
    <w:rsid w:val="00D828DC"/>
    <w:rsid w:val="00D97408"/>
    <w:rsid w:val="00DA7853"/>
    <w:rsid w:val="00DD55A7"/>
    <w:rsid w:val="00DD7C3D"/>
    <w:rsid w:val="00DE6DDC"/>
    <w:rsid w:val="00DF186E"/>
    <w:rsid w:val="00E023A8"/>
    <w:rsid w:val="00E225D2"/>
    <w:rsid w:val="00E4071D"/>
    <w:rsid w:val="00E453BD"/>
    <w:rsid w:val="00E70720"/>
    <w:rsid w:val="00E77958"/>
    <w:rsid w:val="00E951EB"/>
    <w:rsid w:val="00E96A3B"/>
    <w:rsid w:val="00EB40D4"/>
    <w:rsid w:val="00EC4CCB"/>
    <w:rsid w:val="00EC59A6"/>
    <w:rsid w:val="00EC7885"/>
    <w:rsid w:val="00EE5BDD"/>
    <w:rsid w:val="00F20FD4"/>
    <w:rsid w:val="00F24EF2"/>
    <w:rsid w:val="00F3206D"/>
    <w:rsid w:val="00F441EC"/>
    <w:rsid w:val="00F44C70"/>
    <w:rsid w:val="00F73675"/>
    <w:rsid w:val="00F84A7A"/>
    <w:rsid w:val="00F96497"/>
    <w:rsid w:val="00F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2FF1"/>
    <w:pPr>
      <w:ind w:left="720"/>
      <w:contextualSpacing/>
    </w:pPr>
  </w:style>
  <w:style w:type="paragraph" w:customStyle="1" w:styleId="Char">
    <w:name w:val="Char"/>
    <w:basedOn w:val="Normlny"/>
    <w:rsid w:val="0089702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DD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5A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96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2FF1"/>
    <w:pPr>
      <w:ind w:left="720"/>
      <w:contextualSpacing/>
    </w:pPr>
  </w:style>
  <w:style w:type="paragraph" w:customStyle="1" w:styleId="Char">
    <w:name w:val="Char"/>
    <w:basedOn w:val="Normlny"/>
    <w:rsid w:val="0089702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DD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5A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96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h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C6BC-FF08-45E2-9480-549BECD1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Remis, Martin</dc:creator>
  <cp:lastModifiedBy>Remiš Martin</cp:lastModifiedBy>
  <cp:revision>4</cp:revision>
  <cp:lastPrinted>2012-05-16T07:48:00Z</cp:lastPrinted>
  <dcterms:created xsi:type="dcterms:W3CDTF">2014-12-03T08:10:00Z</dcterms:created>
  <dcterms:modified xsi:type="dcterms:W3CDTF">2014-12-03T09:04:00Z</dcterms:modified>
</cp:coreProperties>
</file>