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272C" w14:textId="7D6AE623" w:rsidR="002C46EA" w:rsidRDefault="002C46EA" w:rsidP="002C46EA">
      <w:pPr>
        <w:jc w:val="center"/>
        <w:rPr>
          <w:b/>
        </w:rPr>
      </w:pPr>
      <w:bookmarkStart w:id="0" w:name="_Toc427842166"/>
      <w:bookmarkStart w:id="1" w:name="_GoBack"/>
      <w:bookmarkEnd w:id="1"/>
    </w:p>
    <w:p w14:paraId="3F65BB65" w14:textId="77777777" w:rsidR="002C46EA" w:rsidRDefault="002C46EA" w:rsidP="002C46EA">
      <w:pPr>
        <w:jc w:val="center"/>
        <w:rPr>
          <w:b/>
        </w:rPr>
      </w:pPr>
    </w:p>
    <w:p w14:paraId="3CD2E7A2" w14:textId="77777777" w:rsidR="002C46EA" w:rsidRDefault="002C46EA" w:rsidP="002C46EA">
      <w:pPr>
        <w:jc w:val="center"/>
        <w:rPr>
          <w:b/>
        </w:rPr>
      </w:pPr>
    </w:p>
    <w:p w14:paraId="020D18CF" w14:textId="77777777" w:rsidR="002C46EA" w:rsidRDefault="002C46EA" w:rsidP="002C46EA">
      <w:pPr>
        <w:jc w:val="center"/>
        <w:rPr>
          <w:b/>
        </w:rPr>
      </w:pPr>
    </w:p>
    <w:p w14:paraId="4B7D6057" w14:textId="77777777" w:rsidR="002C46EA" w:rsidRDefault="002C46EA" w:rsidP="002C46EA">
      <w:pPr>
        <w:jc w:val="center"/>
        <w:rPr>
          <w:b/>
        </w:rPr>
      </w:pPr>
    </w:p>
    <w:p w14:paraId="23E5CAB8" w14:textId="77777777" w:rsidR="002C46EA" w:rsidRDefault="002C46EA" w:rsidP="002C46EA">
      <w:pPr>
        <w:jc w:val="center"/>
        <w:rPr>
          <w:b/>
        </w:rPr>
      </w:pPr>
    </w:p>
    <w:p w14:paraId="419EA88B" w14:textId="77777777" w:rsidR="002C46EA" w:rsidRDefault="002C46EA" w:rsidP="002C46EA">
      <w:pPr>
        <w:jc w:val="center"/>
        <w:rPr>
          <w:b/>
        </w:rPr>
      </w:pPr>
    </w:p>
    <w:p w14:paraId="7EB4C312" w14:textId="77777777" w:rsidR="002C46EA" w:rsidRDefault="002C46EA" w:rsidP="002C46EA">
      <w:pPr>
        <w:jc w:val="center"/>
        <w:rPr>
          <w:b/>
        </w:rPr>
      </w:pPr>
    </w:p>
    <w:p w14:paraId="77AC7CED" w14:textId="77777777" w:rsidR="002C46EA" w:rsidRDefault="002C46EA" w:rsidP="002C46EA">
      <w:pPr>
        <w:jc w:val="center"/>
        <w:rPr>
          <w:b/>
        </w:rPr>
      </w:pPr>
    </w:p>
    <w:p w14:paraId="2F4185D0" w14:textId="77777777" w:rsidR="002C46EA" w:rsidRDefault="002C46EA" w:rsidP="002C46EA">
      <w:pPr>
        <w:jc w:val="center"/>
        <w:rPr>
          <w:b/>
        </w:rPr>
      </w:pPr>
    </w:p>
    <w:p w14:paraId="7FB73DD2" w14:textId="77777777" w:rsidR="002C46EA" w:rsidRDefault="002C46EA" w:rsidP="002C46EA">
      <w:pPr>
        <w:jc w:val="center"/>
        <w:rPr>
          <w:b/>
        </w:rPr>
      </w:pPr>
    </w:p>
    <w:p w14:paraId="33CBA983" w14:textId="77777777" w:rsidR="002C46EA" w:rsidRDefault="002C46EA" w:rsidP="002C46EA">
      <w:pPr>
        <w:jc w:val="center"/>
        <w:rPr>
          <w:b/>
        </w:rPr>
      </w:pPr>
    </w:p>
    <w:p w14:paraId="2732C2C2" w14:textId="77777777" w:rsidR="002C46EA" w:rsidRDefault="002C46EA" w:rsidP="002C46EA">
      <w:pPr>
        <w:jc w:val="center"/>
        <w:rPr>
          <w:b/>
        </w:rPr>
      </w:pPr>
    </w:p>
    <w:p w14:paraId="616660D8" w14:textId="3A3BE320" w:rsidR="002C46EA" w:rsidRDefault="002C46EA" w:rsidP="002C46EA">
      <w:pPr>
        <w:jc w:val="center"/>
        <w:rPr>
          <w:b/>
        </w:rPr>
      </w:pPr>
    </w:p>
    <w:p w14:paraId="2F9E2C8A" w14:textId="77777777" w:rsidR="002C46EA" w:rsidRDefault="002C46EA" w:rsidP="002C46EA">
      <w:pPr>
        <w:jc w:val="center"/>
        <w:rPr>
          <w:b/>
        </w:rPr>
      </w:pPr>
    </w:p>
    <w:p w14:paraId="621F7D74" w14:textId="77777777" w:rsidR="002C46EA" w:rsidRDefault="002C46EA" w:rsidP="002C46EA">
      <w:pPr>
        <w:jc w:val="center"/>
        <w:rPr>
          <w:b/>
        </w:rPr>
      </w:pPr>
    </w:p>
    <w:p w14:paraId="6D1CA461" w14:textId="77777777" w:rsidR="002C46EA" w:rsidRDefault="002C46EA" w:rsidP="002C46EA">
      <w:pPr>
        <w:jc w:val="center"/>
        <w:rPr>
          <w:b/>
        </w:rPr>
      </w:pPr>
    </w:p>
    <w:p w14:paraId="7EDB03E3" w14:textId="77777777" w:rsidR="002C46EA" w:rsidRDefault="002C46EA" w:rsidP="002C46EA">
      <w:pPr>
        <w:jc w:val="center"/>
        <w:rPr>
          <w:b/>
        </w:rPr>
      </w:pPr>
    </w:p>
    <w:p w14:paraId="333115F9" w14:textId="77777777" w:rsidR="002C46EA" w:rsidRDefault="002C46EA" w:rsidP="002C46EA">
      <w:pPr>
        <w:jc w:val="center"/>
        <w:rPr>
          <w:b/>
        </w:rPr>
      </w:pPr>
    </w:p>
    <w:p w14:paraId="176432FB" w14:textId="1B9FD783" w:rsidR="002C46EA" w:rsidRPr="002C46EA" w:rsidRDefault="002C46EA" w:rsidP="002C46EA">
      <w:pPr>
        <w:jc w:val="center"/>
        <w:rPr>
          <w:b/>
          <w:sz w:val="28"/>
          <w:szCs w:val="28"/>
        </w:rPr>
      </w:pPr>
      <w:r w:rsidRPr="002C46EA">
        <w:rPr>
          <w:b/>
          <w:sz w:val="28"/>
          <w:szCs w:val="28"/>
        </w:rPr>
        <w:t>Postup na identifikáciu žiadateľa ako podniku v ťažkostiach</w:t>
      </w:r>
    </w:p>
    <w:p w14:paraId="7A048CF0" w14:textId="3AD08B7D" w:rsidR="002C46EA" w:rsidRDefault="002C46EA" w:rsidP="002C46EA">
      <w:pPr>
        <w:jc w:val="center"/>
        <w:rPr>
          <w:b/>
          <w:sz w:val="28"/>
          <w:szCs w:val="28"/>
        </w:rPr>
      </w:pPr>
      <w:r w:rsidRPr="002C46EA">
        <w:rPr>
          <w:b/>
          <w:sz w:val="28"/>
          <w:szCs w:val="28"/>
        </w:rPr>
        <w:t>podľa Usmernenia Spoločenstva o štátnej pomoci na záchranu a reštrukturalizáciu nefinančných podnikov v ťažkostiach (2014/C 249/01)</w:t>
      </w:r>
    </w:p>
    <w:p w14:paraId="5ED3B731" w14:textId="77777777" w:rsidR="00EB1881" w:rsidRDefault="00EB1881" w:rsidP="002C46EA">
      <w:pPr>
        <w:jc w:val="center"/>
        <w:rPr>
          <w:b/>
          <w:sz w:val="28"/>
          <w:szCs w:val="28"/>
        </w:rPr>
      </w:pPr>
    </w:p>
    <w:p w14:paraId="75326920" w14:textId="6F36F006" w:rsidR="00EA2E58" w:rsidRDefault="00EB1881" w:rsidP="002C46EA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9A301EE" wp14:editId="6D8DC2BA">
            <wp:extent cx="2076249" cy="526694"/>
            <wp:effectExtent l="0" t="0" r="635" b="6985"/>
            <wp:docPr id="2" name="Picture 2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logo PP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17" cy="5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D734" w14:textId="05469E92" w:rsidR="00EA2E58" w:rsidRPr="002C46EA" w:rsidRDefault="00EA2E58" w:rsidP="002C46EA">
      <w:pPr>
        <w:jc w:val="center"/>
        <w:rPr>
          <w:b/>
          <w:sz w:val="28"/>
          <w:szCs w:val="28"/>
        </w:rPr>
      </w:pPr>
    </w:p>
    <w:p w14:paraId="6D840509" w14:textId="57ABE7DB" w:rsidR="002C46EA" w:rsidRDefault="002C46EA">
      <w:pPr>
        <w:rPr>
          <w:b/>
        </w:rPr>
      </w:pPr>
      <w:r>
        <w:rPr>
          <w:b/>
        </w:rPr>
        <w:br w:type="page"/>
      </w:r>
    </w:p>
    <w:bookmarkEnd w:id="0"/>
    <w:p w14:paraId="361A1370" w14:textId="2B8F4D61" w:rsidR="00E77273" w:rsidRPr="002C46EA" w:rsidRDefault="002C46EA" w:rsidP="002C46EA">
      <w:pPr>
        <w:spacing w:after="240" w:line="276" w:lineRule="auto"/>
        <w:rPr>
          <w:b/>
          <w:bCs/>
          <w:smallCaps/>
          <w:color w:val="000080"/>
        </w:rPr>
      </w:pPr>
      <w:r w:rsidRPr="002C46EA">
        <w:rPr>
          <w:b/>
          <w:bCs/>
          <w:smallCaps/>
          <w:color w:val="000080"/>
        </w:rPr>
        <w:lastRenderedPageBreak/>
        <w:t>OBSAH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id w:val="1414208410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0"/>
          <w:lang w:eastAsia="en-US"/>
        </w:rPr>
      </w:sdtEndPr>
      <w:sdtContent>
        <w:p w14:paraId="0EBECFAF" w14:textId="01E48049" w:rsidR="00E77273" w:rsidRPr="008E79AC" w:rsidRDefault="00E77273">
          <w:pPr>
            <w:pStyle w:val="Hlavikaobsahu"/>
          </w:pPr>
        </w:p>
        <w:p w14:paraId="3A67A5C3" w14:textId="77777777" w:rsidR="00BC6F40" w:rsidRDefault="00E77273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r w:rsidRPr="00082AA7">
            <w:rPr>
              <w:b w:val="0"/>
              <w:noProof w:val="0"/>
            </w:rPr>
            <w:fldChar w:fldCharType="begin"/>
          </w:r>
          <w:r w:rsidRPr="00082AA7">
            <w:instrText xml:space="preserve"> TOC \o "1-3" \h \z \u </w:instrText>
          </w:r>
          <w:r w:rsidRPr="00082AA7">
            <w:rPr>
              <w:b w:val="0"/>
              <w:noProof w:val="0"/>
            </w:rPr>
            <w:fldChar w:fldCharType="separate"/>
          </w:r>
          <w:hyperlink w:anchor="_Toc427854871" w:history="1">
            <w:r w:rsidR="00BC6F40" w:rsidRPr="006972DB">
              <w:rPr>
                <w:rStyle w:val="Hypertextovprepojenie"/>
              </w:rPr>
              <w:t>ZOZNAM SKRATIEK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_Toc427854871 \h </w:instrText>
            </w:r>
            <w:r w:rsidR="00BC6F40">
              <w:rPr>
                <w:webHidden/>
              </w:rPr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webHidden/>
              </w:rPr>
              <w:t>2</w:t>
            </w:r>
            <w:r w:rsidR="00BC6F40">
              <w:rPr>
                <w:webHidden/>
              </w:rPr>
              <w:fldChar w:fldCharType="end"/>
            </w:r>
          </w:hyperlink>
        </w:p>
        <w:p w14:paraId="354EF166" w14:textId="77777777" w:rsidR="00BC6F40" w:rsidRDefault="005778CD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427854872" w:history="1">
            <w:r w:rsidR="00BC6F40" w:rsidRPr="006972DB">
              <w:rPr>
                <w:rStyle w:val="Hypertextovprepojenie"/>
              </w:rPr>
              <w:t>1</w:t>
            </w:r>
            <w:r w:rsidR="00BC6F40"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</w:rPr>
              <w:t>Úvod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_Toc427854872 \h </w:instrText>
            </w:r>
            <w:r w:rsidR="00BC6F40">
              <w:rPr>
                <w:webHidden/>
              </w:rPr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webHidden/>
              </w:rPr>
              <w:t>3</w:t>
            </w:r>
            <w:r w:rsidR="00BC6F40">
              <w:rPr>
                <w:webHidden/>
              </w:rPr>
              <w:fldChar w:fldCharType="end"/>
            </w:r>
          </w:hyperlink>
        </w:p>
        <w:p w14:paraId="308F9B71" w14:textId="77777777" w:rsidR="00BC6F40" w:rsidRDefault="005778CD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427854873" w:history="1">
            <w:r w:rsidR="00BC6F40" w:rsidRPr="006972DB">
              <w:rPr>
                <w:rStyle w:val="Hypertextovprepojenie"/>
              </w:rPr>
              <w:t>2</w:t>
            </w:r>
            <w:r w:rsidR="00BC6F40"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</w:rPr>
              <w:t>Všeobecné východiská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_Toc427854873 \h </w:instrText>
            </w:r>
            <w:r w:rsidR="00BC6F40">
              <w:rPr>
                <w:webHidden/>
              </w:rPr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webHidden/>
              </w:rPr>
              <w:t>3</w:t>
            </w:r>
            <w:r w:rsidR="00BC6F40">
              <w:rPr>
                <w:webHidden/>
              </w:rPr>
              <w:fldChar w:fldCharType="end"/>
            </w:r>
          </w:hyperlink>
        </w:p>
        <w:p w14:paraId="104AF92C" w14:textId="77777777" w:rsidR="00BC6F40" w:rsidRDefault="005778CD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427854874" w:history="1">
            <w:r w:rsidR="00BC6F40" w:rsidRPr="006972DB">
              <w:rPr>
                <w:rStyle w:val="Hypertextovprepojenie"/>
              </w:rPr>
              <w:t>3</w:t>
            </w:r>
            <w:r w:rsidR="00BC6F40"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</w:rPr>
              <w:t>Definície pojmov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_Toc427854874 \h </w:instrText>
            </w:r>
            <w:r w:rsidR="00BC6F40">
              <w:rPr>
                <w:webHidden/>
              </w:rPr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webHidden/>
              </w:rPr>
              <w:t>4</w:t>
            </w:r>
            <w:r w:rsidR="00BC6F40">
              <w:rPr>
                <w:webHidden/>
              </w:rPr>
              <w:fldChar w:fldCharType="end"/>
            </w:r>
          </w:hyperlink>
        </w:p>
        <w:p w14:paraId="2745CC87" w14:textId="77777777" w:rsidR="00BC6F40" w:rsidRDefault="005778CD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427854875" w:history="1">
            <w:r w:rsidR="00BC6F40" w:rsidRPr="006972DB">
              <w:rPr>
                <w:rStyle w:val="Hypertextovprepojenie"/>
              </w:rPr>
              <w:t>4</w:t>
            </w:r>
            <w:r w:rsidR="00BC6F40"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</w:rPr>
              <w:t>Aplikácia bodu 20 Usmernenia na jednotlivé typy obchodných spoločností a fyzickú osobu – podnikateľa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_Toc427854875 \h </w:instrText>
            </w:r>
            <w:r w:rsidR="00BC6F40">
              <w:rPr>
                <w:webHidden/>
              </w:rPr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webHidden/>
              </w:rPr>
              <w:t>5</w:t>
            </w:r>
            <w:r w:rsidR="00BC6F40">
              <w:rPr>
                <w:webHidden/>
              </w:rPr>
              <w:fldChar w:fldCharType="end"/>
            </w:r>
          </w:hyperlink>
        </w:p>
        <w:p w14:paraId="3BC40BB8" w14:textId="77777777" w:rsidR="00BC6F40" w:rsidRDefault="005778CD">
          <w:pPr>
            <w:pStyle w:val="Obsah3"/>
            <w:rPr>
              <w:rFonts w:asciiTheme="minorHAnsi" w:eastAsiaTheme="minorEastAsia" w:hAnsiTheme="minorHAnsi" w:cstheme="minorBidi"/>
              <w:i w:val="0"/>
              <w:noProof/>
              <w:szCs w:val="22"/>
              <w:lang w:val="en-US"/>
            </w:rPr>
          </w:pPr>
          <w:hyperlink w:anchor="_Toc427854876" w:history="1">
            <w:r w:rsidR="00BC6F40" w:rsidRPr="006972DB">
              <w:rPr>
                <w:rStyle w:val="Hypertextovprepojenie"/>
                <w:noProof/>
              </w:rPr>
              <w:t>4.1</w:t>
            </w:r>
            <w:r w:rsidR="00BC6F40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  <w:noProof/>
              </w:rPr>
              <w:t>Písm. a) - spoločnosť s ručením obmedzeným, akciová spoločnosť, družstvo, štátny podnik, pozemkové spoločenstvo</w:t>
            </w:r>
            <w:r w:rsidR="00BC6F40">
              <w:rPr>
                <w:noProof/>
                <w:webHidden/>
              </w:rPr>
              <w:tab/>
            </w:r>
            <w:r w:rsidR="00BC6F40">
              <w:rPr>
                <w:noProof/>
                <w:webHidden/>
              </w:rPr>
              <w:fldChar w:fldCharType="begin"/>
            </w:r>
            <w:r w:rsidR="00BC6F40">
              <w:rPr>
                <w:noProof/>
                <w:webHidden/>
              </w:rPr>
              <w:instrText xml:space="preserve"> PAGEREF _Toc427854876 \h </w:instrText>
            </w:r>
            <w:r w:rsidR="00BC6F40">
              <w:rPr>
                <w:noProof/>
                <w:webHidden/>
              </w:rPr>
            </w:r>
            <w:r w:rsidR="00BC6F40">
              <w:rPr>
                <w:noProof/>
                <w:webHidden/>
              </w:rPr>
              <w:fldChar w:fldCharType="separate"/>
            </w:r>
            <w:r w:rsidR="00103866">
              <w:rPr>
                <w:noProof/>
                <w:webHidden/>
              </w:rPr>
              <w:t>5</w:t>
            </w:r>
            <w:r w:rsidR="00BC6F40">
              <w:rPr>
                <w:noProof/>
                <w:webHidden/>
              </w:rPr>
              <w:fldChar w:fldCharType="end"/>
            </w:r>
          </w:hyperlink>
        </w:p>
        <w:p w14:paraId="6B025FEB" w14:textId="77777777" w:rsidR="00BC6F40" w:rsidRDefault="005778CD">
          <w:pPr>
            <w:pStyle w:val="Obsah3"/>
            <w:rPr>
              <w:rFonts w:asciiTheme="minorHAnsi" w:eastAsiaTheme="minorEastAsia" w:hAnsiTheme="minorHAnsi" w:cstheme="minorBidi"/>
              <w:i w:val="0"/>
              <w:noProof/>
              <w:szCs w:val="22"/>
              <w:lang w:val="en-US"/>
            </w:rPr>
          </w:pPr>
          <w:hyperlink w:anchor="_Toc427854877" w:history="1">
            <w:r w:rsidR="00BC6F40" w:rsidRPr="006972DB">
              <w:rPr>
                <w:rStyle w:val="Hypertextovprepojenie"/>
                <w:noProof/>
              </w:rPr>
              <w:t>4.2</w:t>
            </w:r>
            <w:r w:rsidR="00BC6F40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  <w:noProof/>
              </w:rPr>
              <w:t>Písm. b) - fyzická osoba – podnikateľ, verejná obchodná spoločnosť a komanditná spoločnosť</w:t>
            </w:r>
            <w:r w:rsidR="00BC6F40">
              <w:rPr>
                <w:noProof/>
                <w:webHidden/>
              </w:rPr>
              <w:tab/>
            </w:r>
            <w:r w:rsidR="00BC6F40">
              <w:rPr>
                <w:noProof/>
                <w:webHidden/>
              </w:rPr>
              <w:fldChar w:fldCharType="begin"/>
            </w:r>
            <w:r w:rsidR="00BC6F40">
              <w:rPr>
                <w:noProof/>
                <w:webHidden/>
              </w:rPr>
              <w:instrText xml:space="preserve"> PAGEREF _Toc427854877 \h </w:instrText>
            </w:r>
            <w:r w:rsidR="00BC6F40">
              <w:rPr>
                <w:noProof/>
                <w:webHidden/>
              </w:rPr>
            </w:r>
            <w:r w:rsidR="00BC6F40">
              <w:rPr>
                <w:noProof/>
                <w:webHidden/>
              </w:rPr>
              <w:fldChar w:fldCharType="separate"/>
            </w:r>
            <w:r w:rsidR="00103866">
              <w:rPr>
                <w:noProof/>
                <w:webHidden/>
              </w:rPr>
              <w:t>5</w:t>
            </w:r>
            <w:r w:rsidR="00BC6F40">
              <w:rPr>
                <w:noProof/>
                <w:webHidden/>
              </w:rPr>
              <w:fldChar w:fldCharType="end"/>
            </w:r>
          </w:hyperlink>
        </w:p>
        <w:p w14:paraId="55269E8D" w14:textId="77777777" w:rsidR="00BC6F40" w:rsidRDefault="005778CD">
          <w:pPr>
            <w:pStyle w:val="Obsah3"/>
            <w:rPr>
              <w:rFonts w:asciiTheme="minorHAnsi" w:eastAsiaTheme="minorEastAsia" w:hAnsiTheme="minorHAnsi" w:cstheme="minorBidi"/>
              <w:i w:val="0"/>
              <w:noProof/>
              <w:szCs w:val="22"/>
              <w:lang w:val="en-US"/>
            </w:rPr>
          </w:pPr>
          <w:hyperlink w:anchor="_Toc427854878" w:history="1">
            <w:r w:rsidR="00BC6F40" w:rsidRPr="006972DB">
              <w:rPr>
                <w:rStyle w:val="Hypertextovprepojenie"/>
                <w:noProof/>
              </w:rPr>
              <w:t>4.3</w:t>
            </w:r>
            <w:r w:rsidR="00BC6F40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  <w:noProof/>
              </w:rPr>
              <w:t>Písm. c) – všetci žiadatelia</w:t>
            </w:r>
            <w:r w:rsidR="00BC6F40">
              <w:rPr>
                <w:noProof/>
                <w:webHidden/>
              </w:rPr>
              <w:tab/>
            </w:r>
            <w:r w:rsidR="00BC6F40">
              <w:rPr>
                <w:noProof/>
                <w:webHidden/>
              </w:rPr>
              <w:fldChar w:fldCharType="begin"/>
            </w:r>
            <w:r w:rsidR="00BC6F40">
              <w:rPr>
                <w:noProof/>
                <w:webHidden/>
              </w:rPr>
              <w:instrText xml:space="preserve"> PAGEREF _Toc427854878 \h </w:instrText>
            </w:r>
            <w:r w:rsidR="00BC6F40">
              <w:rPr>
                <w:noProof/>
                <w:webHidden/>
              </w:rPr>
            </w:r>
            <w:r w:rsidR="00BC6F40">
              <w:rPr>
                <w:noProof/>
                <w:webHidden/>
              </w:rPr>
              <w:fldChar w:fldCharType="separate"/>
            </w:r>
            <w:r w:rsidR="00103866">
              <w:rPr>
                <w:noProof/>
                <w:webHidden/>
              </w:rPr>
              <w:t>7</w:t>
            </w:r>
            <w:r w:rsidR="00BC6F40">
              <w:rPr>
                <w:noProof/>
                <w:webHidden/>
              </w:rPr>
              <w:fldChar w:fldCharType="end"/>
            </w:r>
          </w:hyperlink>
        </w:p>
        <w:p w14:paraId="459D5B84" w14:textId="77777777" w:rsidR="00BC6F40" w:rsidRDefault="005778CD">
          <w:pPr>
            <w:pStyle w:val="Obsah3"/>
            <w:rPr>
              <w:rFonts w:asciiTheme="minorHAnsi" w:eastAsiaTheme="minorEastAsia" w:hAnsiTheme="minorHAnsi" w:cstheme="minorBidi"/>
              <w:i w:val="0"/>
              <w:noProof/>
              <w:szCs w:val="22"/>
              <w:lang w:val="en-US"/>
            </w:rPr>
          </w:pPr>
          <w:hyperlink w:anchor="_Toc427854879" w:history="1">
            <w:r w:rsidR="00BC6F40" w:rsidRPr="006972DB">
              <w:rPr>
                <w:rStyle w:val="Hypertextovprepojenie"/>
                <w:noProof/>
              </w:rPr>
              <w:t>4.4</w:t>
            </w:r>
            <w:r w:rsidR="00BC6F40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en-US"/>
              </w:rPr>
              <w:tab/>
            </w:r>
            <w:r w:rsidR="00BC6F40" w:rsidRPr="006972DB">
              <w:rPr>
                <w:rStyle w:val="Hypertextovprepojenie"/>
                <w:noProof/>
              </w:rPr>
              <w:t>Písm. d) - všetci žiadatelia, ktorí nie sú klasifikovaní ako MSP</w:t>
            </w:r>
            <w:r w:rsidR="00BC6F40">
              <w:rPr>
                <w:noProof/>
                <w:webHidden/>
              </w:rPr>
              <w:tab/>
            </w:r>
            <w:r w:rsidR="00BC6F40">
              <w:rPr>
                <w:noProof/>
                <w:webHidden/>
              </w:rPr>
              <w:fldChar w:fldCharType="begin"/>
            </w:r>
            <w:r w:rsidR="00BC6F40">
              <w:rPr>
                <w:noProof/>
                <w:webHidden/>
              </w:rPr>
              <w:instrText xml:space="preserve"> PAGEREF _Toc427854879 \h </w:instrText>
            </w:r>
            <w:r w:rsidR="00BC6F40">
              <w:rPr>
                <w:noProof/>
                <w:webHidden/>
              </w:rPr>
            </w:r>
            <w:r w:rsidR="00BC6F40">
              <w:rPr>
                <w:noProof/>
                <w:webHidden/>
              </w:rPr>
              <w:fldChar w:fldCharType="separate"/>
            </w:r>
            <w:r w:rsidR="00103866">
              <w:rPr>
                <w:noProof/>
                <w:webHidden/>
              </w:rPr>
              <w:t>7</w:t>
            </w:r>
            <w:r w:rsidR="00BC6F40">
              <w:rPr>
                <w:noProof/>
                <w:webHidden/>
              </w:rPr>
              <w:fldChar w:fldCharType="end"/>
            </w:r>
          </w:hyperlink>
        </w:p>
        <w:p w14:paraId="40CCBE0E" w14:textId="77777777" w:rsidR="00BC6F40" w:rsidRDefault="005778CD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427854880" w:history="1">
            <w:r w:rsidR="00BC6F40" w:rsidRPr="006972DB">
              <w:rPr>
                <w:rStyle w:val="Hypertextovprepojenie"/>
              </w:rPr>
              <w:t>Zoznam tabuliek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_Toc427854880 \h </w:instrText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b w:val="0"/>
                <w:bCs/>
                <w:webHidden/>
              </w:rPr>
              <w:t>Chyba! Záložka nie je definovaná.</w:t>
            </w:r>
            <w:r w:rsidR="00BC6F40">
              <w:rPr>
                <w:webHidden/>
              </w:rPr>
              <w:fldChar w:fldCharType="end"/>
            </w:r>
          </w:hyperlink>
        </w:p>
        <w:p w14:paraId="09A3F688" w14:textId="77777777" w:rsidR="00BC6F40" w:rsidRDefault="005778CD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427854881" w:history="1">
            <w:r w:rsidR="00BC6F40" w:rsidRPr="006972DB">
              <w:rPr>
                <w:rStyle w:val="Hypertextovprepojenie"/>
              </w:rPr>
              <w:t>prílohy</w:t>
            </w:r>
            <w:r w:rsidR="00BC6F40">
              <w:rPr>
                <w:webHidden/>
              </w:rPr>
              <w:tab/>
            </w:r>
            <w:r w:rsidR="00BC6F40">
              <w:rPr>
                <w:webHidden/>
              </w:rPr>
              <w:fldChar w:fldCharType="begin"/>
            </w:r>
            <w:r w:rsidR="00BC6F40">
              <w:rPr>
                <w:webHidden/>
              </w:rPr>
              <w:instrText xml:space="preserve"> PAGEREF _Toc427854881 \h </w:instrText>
            </w:r>
            <w:r w:rsidR="00BC6F40">
              <w:rPr>
                <w:webHidden/>
              </w:rPr>
            </w:r>
            <w:r w:rsidR="00BC6F40">
              <w:rPr>
                <w:webHidden/>
              </w:rPr>
              <w:fldChar w:fldCharType="separate"/>
            </w:r>
            <w:r w:rsidR="00103866">
              <w:rPr>
                <w:webHidden/>
              </w:rPr>
              <w:t>8</w:t>
            </w:r>
            <w:r w:rsidR="00BC6F40">
              <w:rPr>
                <w:webHidden/>
              </w:rPr>
              <w:fldChar w:fldCharType="end"/>
            </w:r>
          </w:hyperlink>
        </w:p>
        <w:p w14:paraId="723571E8" w14:textId="77777777" w:rsidR="00BC6F40" w:rsidRDefault="005778CD">
          <w:pPr>
            <w:pStyle w:val="Obsah3"/>
            <w:rPr>
              <w:rFonts w:asciiTheme="minorHAnsi" w:eastAsiaTheme="minorEastAsia" w:hAnsiTheme="minorHAnsi" w:cstheme="minorBidi"/>
              <w:i w:val="0"/>
              <w:noProof/>
              <w:szCs w:val="22"/>
              <w:lang w:val="en-US"/>
            </w:rPr>
          </w:pPr>
          <w:hyperlink w:anchor="_Toc427854882" w:history="1">
            <w:r w:rsidR="00BC6F40" w:rsidRPr="006972DB">
              <w:rPr>
                <w:rStyle w:val="Hypertextovprepojenie"/>
                <w:noProof/>
              </w:rPr>
              <w:t>Príloha 1 – Súbor vo formáte Microsoft Excel na rýchlu identifikáciu podniku v ťažkostiach (elektronická príloha)</w:t>
            </w:r>
            <w:r w:rsidR="00BC6F40">
              <w:rPr>
                <w:noProof/>
                <w:webHidden/>
              </w:rPr>
              <w:tab/>
            </w:r>
            <w:r w:rsidR="00BC6F40">
              <w:rPr>
                <w:noProof/>
                <w:webHidden/>
              </w:rPr>
              <w:fldChar w:fldCharType="begin"/>
            </w:r>
            <w:r w:rsidR="00BC6F40">
              <w:rPr>
                <w:noProof/>
                <w:webHidden/>
              </w:rPr>
              <w:instrText xml:space="preserve"> PAGEREF _Toc427854882 \h </w:instrText>
            </w:r>
            <w:r w:rsidR="00BC6F40">
              <w:rPr>
                <w:noProof/>
                <w:webHidden/>
              </w:rPr>
            </w:r>
            <w:r w:rsidR="00BC6F40">
              <w:rPr>
                <w:noProof/>
                <w:webHidden/>
              </w:rPr>
              <w:fldChar w:fldCharType="separate"/>
            </w:r>
            <w:r w:rsidR="00103866">
              <w:rPr>
                <w:noProof/>
                <w:webHidden/>
              </w:rPr>
              <w:t>8</w:t>
            </w:r>
            <w:r w:rsidR="00BC6F40">
              <w:rPr>
                <w:noProof/>
                <w:webHidden/>
              </w:rPr>
              <w:fldChar w:fldCharType="end"/>
            </w:r>
          </w:hyperlink>
        </w:p>
        <w:p w14:paraId="493215DC" w14:textId="4E9E8752" w:rsidR="00E77273" w:rsidRPr="00082AA7" w:rsidRDefault="00E77273">
          <w:r w:rsidRPr="00082AA7">
            <w:rPr>
              <w:b/>
              <w:bCs/>
              <w:noProof/>
            </w:rPr>
            <w:fldChar w:fldCharType="end"/>
          </w:r>
        </w:p>
      </w:sdtContent>
    </w:sdt>
    <w:p w14:paraId="6C15788E" w14:textId="77777777" w:rsidR="00E77273" w:rsidRPr="00082AA7" w:rsidRDefault="00E77273">
      <w:pPr>
        <w:rPr>
          <w:b/>
          <w:bCs/>
          <w:noProof/>
        </w:rPr>
      </w:pPr>
    </w:p>
    <w:p w14:paraId="0812CA6D" w14:textId="77777777" w:rsidR="008E79AC" w:rsidRDefault="008E79AC" w:rsidP="00180FB4">
      <w:pPr>
        <w:rPr>
          <w:b/>
          <w:noProof/>
        </w:rPr>
      </w:pPr>
    </w:p>
    <w:p w14:paraId="6A351072" w14:textId="18D68780" w:rsidR="006E0774" w:rsidRDefault="006E0774" w:rsidP="00180FB4">
      <w:pPr>
        <w:pStyle w:val="Nadpis2"/>
        <w:numPr>
          <w:ilvl w:val="0"/>
          <w:numId w:val="0"/>
        </w:numPr>
        <w:spacing w:after="240" w:line="276" w:lineRule="auto"/>
        <w:ind w:left="709" w:hanging="709"/>
      </w:pPr>
      <w:r w:rsidRPr="00082AA7">
        <w:rPr>
          <w:b w:val="0"/>
          <w:noProof/>
        </w:rPr>
        <w:br w:type="page"/>
      </w:r>
      <w:bookmarkStart w:id="2" w:name="_Toc181518617"/>
      <w:bookmarkStart w:id="3" w:name="_Toc181621199"/>
      <w:bookmarkStart w:id="4" w:name="_Toc427334401"/>
      <w:bookmarkStart w:id="5" w:name="_Toc427826092"/>
      <w:bookmarkStart w:id="6" w:name="_Toc427842167"/>
      <w:bookmarkStart w:id="7" w:name="_Toc427854871"/>
      <w:r w:rsidRPr="008E79AC">
        <w:lastRenderedPageBreak/>
        <w:t>ZOZNAM SKRATIEK</w:t>
      </w:r>
      <w:bookmarkEnd w:id="2"/>
      <w:bookmarkEnd w:id="3"/>
      <w:bookmarkEnd w:id="4"/>
      <w:bookmarkEnd w:id="5"/>
      <w:bookmarkEnd w:id="6"/>
      <w:bookmarkEnd w:id="7"/>
      <w:r w:rsidRPr="00082AA7">
        <w:t xml:space="preserve"> </w:t>
      </w:r>
    </w:p>
    <w:p w14:paraId="27642887" w14:textId="77777777" w:rsidR="00921375" w:rsidRPr="00921375" w:rsidRDefault="00921375" w:rsidP="00921375"/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1815"/>
        <w:gridCol w:w="7272"/>
      </w:tblGrid>
      <w:tr w:rsidR="006E0774" w:rsidRPr="00082AA7" w14:paraId="742D74F5" w14:textId="77777777" w:rsidTr="00906227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10C4E22C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</w:pPr>
            <w:r w:rsidRPr="00082AA7"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  <w:t>Skratka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6C257604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</w:pPr>
            <w:r w:rsidRPr="00082AA7"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  <w:t>Názov</w:t>
            </w:r>
          </w:p>
        </w:tc>
      </w:tr>
      <w:tr w:rsidR="006E0774" w:rsidRPr="00082AA7" w14:paraId="1791D459" w14:textId="77777777" w:rsidTr="0090622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BE70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t>EPFRV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83AA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rFonts w:eastAsia="MS Mincho"/>
                <w:szCs w:val="22"/>
                <w:lang w:eastAsia="ja-JP"/>
              </w:rPr>
              <w:t>Európsky poľnohospodársky fond rozvoja vidieka</w:t>
            </w:r>
          </w:p>
        </w:tc>
      </w:tr>
      <w:tr w:rsidR="006E0774" w:rsidRPr="00082AA7" w14:paraId="7FE04C5D" w14:textId="77777777" w:rsidTr="0090622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07AA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rFonts w:eastAsia="MS Mincho"/>
                <w:szCs w:val="22"/>
                <w:lang w:eastAsia="ja-JP"/>
              </w:rPr>
              <w:t>PPA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DA7A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rFonts w:eastAsia="MS Mincho"/>
                <w:szCs w:val="22"/>
                <w:lang w:eastAsia="ja-JP"/>
              </w:rPr>
              <w:t>Pôdohospodárska platobná agentúra</w:t>
            </w:r>
          </w:p>
        </w:tc>
      </w:tr>
      <w:tr w:rsidR="006E0774" w:rsidRPr="00082AA7" w14:paraId="0A1F130F" w14:textId="77777777" w:rsidTr="0090622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8804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rFonts w:eastAsia="MS Mincho"/>
                <w:szCs w:val="22"/>
                <w:lang w:eastAsia="ja-JP"/>
              </w:rPr>
              <w:t>NFP</w:t>
            </w:r>
            <w:r w:rsidRPr="00082AA7" w:rsidDel="001D191C"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E197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rFonts w:eastAsia="MS Mincho"/>
                <w:szCs w:val="22"/>
                <w:lang w:eastAsia="ja-JP"/>
              </w:rPr>
              <w:t>Nenávratný finančný príspevok</w:t>
            </w:r>
            <w:r w:rsidRPr="00082AA7" w:rsidDel="001D191C"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</w:tr>
      <w:tr w:rsidR="006E0774" w:rsidRPr="00082AA7" w14:paraId="5F3D2EEC" w14:textId="77777777" w:rsidTr="0090622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D893" w14:textId="738A1346" w:rsidR="006E0774" w:rsidRPr="00082AA7" w:rsidRDefault="000B484D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EBITDA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6D19" w14:textId="55DEABA8" w:rsidR="006E0774" w:rsidRPr="00082AA7" w:rsidRDefault="000B484D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ED12E2">
              <w:rPr>
                <w:rFonts w:eastAsia="MS Mincho"/>
                <w:szCs w:val="22"/>
                <w:lang w:eastAsia="ja-JP"/>
              </w:rPr>
              <w:t>Zisk pred úrokmi, zdanením a odpismi</w:t>
            </w:r>
          </w:p>
        </w:tc>
      </w:tr>
    </w:tbl>
    <w:p w14:paraId="08BA6DFB" w14:textId="77777777" w:rsidR="00B81820" w:rsidRPr="00082AA7" w:rsidRDefault="00B81820" w:rsidP="00CB7C7B"/>
    <w:p w14:paraId="463F51E2" w14:textId="6142C77B" w:rsidR="00C548E9" w:rsidRDefault="00C548E9" w:rsidP="003D1046">
      <w:pPr>
        <w:jc w:val="center"/>
        <w:rPr>
          <w:b/>
        </w:rPr>
      </w:pPr>
    </w:p>
    <w:p w14:paraId="41D72728" w14:textId="77777777" w:rsidR="00180FB4" w:rsidRDefault="00180FB4" w:rsidP="00180FB4">
      <w:pPr>
        <w:pStyle w:val="Nadpis2"/>
        <w:sectPr w:rsidR="00180FB4" w:rsidSect="00D30FA1"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3F4749B0" w14:textId="59EBB04C" w:rsidR="00C548E9" w:rsidRPr="002C46EA" w:rsidRDefault="002C46EA" w:rsidP="00180FB4">
      <w:pPr>
        <w:pStyle w:val="Nadpis2"/>
      </w:pPr>
      <w:bookmarkStart w:id="8" w:name="_Toc427854872"/>
      <w:r w:rsidRPr="002C46EA">
        <w:lastRenderedPageBreak/>
        <w:t>Úvod</w:t>
      </w:r>
      <w:bookmarkEnd w:id="8"/>
    </w:p>
    <w:p w14:paraId="2CE2CC91" w14:textId="77777777" w:rsidR="006B20C7" w:rsidRPr="00082AA7" w:rsidRDefault="006B20C7" w:rsidP="000E5811"/>
    <w:p w14:paraId="4C8512CC" w14:textId="1E0E7055" w:rsidR="00E83C04" w:rsidRPr="00082AA7" w:rsidRDefault="006B20C7" w:rsidP="000E5811">
      <w:r w:rsidRPr="00082AA7">
        <w:tab/>
        <w:t xml:space="preserve">Tento </w:t>
      </w:r>
      <w:r w:rsidR="00EE65C0">
        <w:t xml:space="preserve">postup </w:t>
      </w:r>
      <w:r w:rsidRPr="00082AA7">
        <w:t xml:space="preserve">napomáha </w:t>
      </w:r>
      <w:r w:rsidR="001700AF" w:rsidRPr="00082AA7">
        <w:t>ohraničiť</w:t>
      </w:r>
      <w:r w:rsidRPr="00082AA7">
        <w:t xml:space="preserve"> podnik v ťažkostiach v zmysle </w:t>
      </w:r>
      <w:r w:rsidRPr="00082AA7">
        <w:rPr>
          <w:b/>
        </w:rPr>
        <w:t>Usmernenia Spoločenstva o štátnej pomoci na záchranu a</w:t>
      </w:r>
      <w:r w:rsidR="003F56E1" w:rsidRPr="00082AA7">
        <w:rPr>
          <w:b/>
        </w:rPr>
        <w:t> </w:t>
      </w:r>
      <w:r w:rsidRPr="00082AA7">
        <w:rPr>
          <w:b/>
        </w:rPr>
        <w:t>reštrukturalizáciu</w:t>
      </w:r>
      <w:r w:rsidR="003F56E1" w:rsidRPr="00082AA7">
        <w:rPr>
          <w:b/>
        </w:rPr>
        <w:t xml:space="preserve"> nefinančných podnikov </w:t>
      </w:r>
      <w:r w:rsidRPr="00082AA7">
        <w:rPr>
          <w:b/>
        </w:rPr>
        <w:t>v ťažkostiach (2014/C 249/01)</w:t>
      </w:r>
      <w:r w:rsidRPr="00082AA7">
        <w:t xml:space="preserve"> (ďalej len „Usmernenie</w:t>
      </w:r>
      <w:r w:rsidR="00FB483E">
        <w:t xml:space="preserve">“). </w:t>
      </w:r>
      <w:r w:rsidR="00E83C04" w:rsidRPr="00082AA7">
        <w:t xml:space="preserve">Súčasťou </w:t>
      </w:r>
      <w:r w:rsidR="00EE65C0">
        <w:t>p</w:t>
      </w:r>
      <w:r w:rsidR="0004620B" w:rsidRPr="00082AA7">
        <w:t>ostupu</w:t>
      </w:r>
      <w:r w:rsidR="00E83C04" w:rsidRPr="00082AA7">
        <w:t xml:space="preserve"> je </w:t>
      </w:r>
      <w:r w:rsidRPr="00082AA7">
        <w:t xml:space="preserve">aj </w:t>
      </w:r>
      <w:r w:rsidR="00E83C04" w:rsidRPr="00082AA7">
        <w:t>priložený súbor vo formáte MS Excel s</w:t>
      </w:r>
      <w:r w:rsidR="003D1046">
        <w:t> </w:t>
      </w:r>
      <w:r w:rsidR="00E83C04" w:rsidRPr="00082AA7">
        <w:t>názvom</w:t>
      </w:r>
      <w:r w:rsidR="003D1046">
        <w:t xml:space="preserve"> „</w:t>
      </w:r>
      <w:r w:rsidR="003D1046" w:rsidRPr="003D1046">
        <w:t>Súbor vo formáte Microsoft Excel na rýchlu identifikáciu podniku v</w:t>
      </w:r>
      <w:r w:rsidR="003D1046">
        <w:t> </w:t>
      </w:r>
      <w:r w:rsidR="003D1046" w:rsidRPr="003D1046">
        <w:t>ťažkostiach</w:t>
      </w:r>
      <w:r w:rsidR="003D1046">
        <w:t>“</w:t>
      </w:r>
      <w:r w:rsidR="00E83C04" w:rsidRPr="00082AA7">
        <w:t>, ktorý slúži</w:t>
      </w:r>
      <w:r w:rsidR="009E3E70" w:rsidRPr="00082AA7">
        <w:t xml:space="preserve"> na</w:t>
      </w:r>
      <w:r w:rsidR="00E83C04" w:rsidRPr="00082AA7">
        <w:t xml:space="preserve"> </w:t>
      </w:r>
      <w:r w:rsidR="003B52C5" w:rsidRPr="00082AA7">
        <w:t>rýchlu</w:t>
      </w:r>
      <w:r w:rsidR="00E83C04" w:rsidRPr="00082AA7">
        <w:t xml:space="preserve"> identifikáci</w:t>
      </w:r>
      <w:r w:rsidR="003B52C5" w:rsidRPr="00082AA7">
        <w:t>u</w:t>
      </w:r>
      <w:r w:rsidR="00E83C04" w:rsidRPr="00082AA7">
        <w:t xml:space="preserve"> podniku v ťažkostiach.</w:t>
      </w:r>
    </w:p>
    <w:p w14:paraId="282EEC0F" w14:textId="77777777" w:rsidR="005A2AFF" w:rsidRPr="00082AA7" w:rsidRDefault="005A2AFF" w:rsidP="000E5811"/>
    <w:p w14:paraId="2B22CE06" w14:textId="77777777" w:rsidR="00C548E9" w:rsidRPr="00082AA7" w:rsidRDefault="00C548E9" w:rsidP="000E5811"/>
    <w:p w14:paraId="71467619" w14:textId="5EF491D1" w:rsidR="00C548E9" w:rsidRPr="008E79AC" w:rsidRDefault="00C548E9" w:rsidP="00180FB4">
      <w:pPr>
        <w:pStyle w:val="Nadpis2"/>
      </w:pPr>
      <w:bookmarkStart w:id="9" w:name="_Toc427586730"/>
      <w:bookmarkStart w:id="10" w:name="_Toc427826093"/>
      <w:bookmarkStart w:id="11" w:name="_Toc427842168"/>
      <w:bookmarkStart w:id="12" w:name="_Toc427854873"/>
      <w:r w:rsidRPr="008E79AC">
        <w:t>Všeobecné východiská</w:t>
      </w:r>
      <w:bookmarkEnd w:id="9"/>
      <w:bookmarkEnd w:id="10"/>
      <w:bookmarkEnd w:id="11"/>
      <w:bookmarkEnd w:id="12"/>
      <w:r w:rsidRPr="008E79AC">
        <w:t xml:space="preserve"> </w:t>
      </w:r>
    </w:p>
    <w:p w14:paraId="372D8695" w14:textId="77777777" w:rsidR="00C548E9" w:rsidRPr="00082AA7" w:rsidRDefault="00C548E9" w:rsidP="000E5811"/>
    <w:p w14:paraId="541B2D7D" w14:textId="0E9E4976" w:rsidR="002925F5" w:rsidRPr="00082AA7" w:rsidRDefault="00FF61E0" w:rsidP="008E11F2">
      <w:pPr>
        <w:ind w:firstLine="708"/>
      </w:pPr>
      <w:r w:rsidRPr="00082AA7">
        <w:t xml:space="preserve">Identifikácia podniku ako podniku v ťažkostiach vychádza z </w:t>
      </w:r>
      <w:r w:rsidRPr="008E79AC">
        <w:rPr>
          <w:b/>
        </w:rPr>
        <w:t>U</w:t>
      </w:r>
      <w:r w:rsidR="00C548E9" w:rsidRPr="008E79AC">
        <w:rPr>
          <w:b/>
        </w:rPr>
        <w:t>smerneni</w:t>
      </w:r>
      <w:r w:rsidRPr="008E79AC">
        <w:rPr>
          <w:b/>
        </w:rPr>
        <w:t>a</w:t>
      </w:r>
      <w:r w:rsidR="00C548E9" w:rsidRPr="008E79AC">
        <w:rPr>
          <w:b/>
        </w:rPr>
        <w:t xml:space="preserve"> Spoločenstva o štátnej pomoci na záchranu a reštrukturalizáciu </w:t>
      </w:r>
      <w:r w:rsidRPr="008E79AC">
        <w:rPr>
          <w:b/>
        </w:rPr>
        <w:t xml:space="preserve">nefinančných podnikov ťažkostiach </w:t>
      </w:r>
      <w:r w:rsidR="009F4C87" w:rsidRPr="008E79AC">
        <w:rPr>
          <w:b/>
        </w:rPr>
        <w:t xml:space="preserve">(2014/C 249/01) </w:t>
      </w:r>
      <w:r w:rsidR="00C548E9" w:rsidRPr="008E79AC">
        <w:rPr>
          <w:b/>
        </w:rPr>
        <w:t xml:space="preserve">(ďalej </w:t>
      </w:r>
      <w:r w:rsidR="006B331C" w:rsidRPr="008E79AC">
        <w:rPr>
          <w:b/>
        </w:rPr>
        <w:t>iba</w:t>
      </w:r>
      <w:r w:rsidR="00C548E9" w:rsidRPr="008E79AC">
        <w:rPr>
          <w:b/>
        </w:rPr>
        <w:t xml:space="preserve"> „Usmernenie“)</w:t>
      </w:r>
      <w:r w:rsidR="002925F5" w:rsidRPr="008E79AC">
        <w:rPr>
          <w:b/>
        </w:rPr>
        <w:t xml:space="preserve"> z bodu 20 a 24</w:t>
      </w:r>
      <w:r w:rsidRPr="008E79AC">
        <w:rPr>
          <w:b/>
        </w:rPr>
        <w:t>.</w:t>
      </w:r>
    </w:p>
    <w:p w14:paraId="31ACFCF0" w14:textId="77777777" w:rsidR="00830BC3" w:rsidRPr="00082AA7" w:rsidRDefault="00830BC3" w:rsidP="008E11F2">
      <w:pPr>
        <w:ind w:firstLine="708"/>
      </w:pPr>
    </w:p>
    <w:p w14:paraId="54704593" w14:textId="6974E445" w:rsidR="008E11F2" w:rsidRPr="00082AA7" w:rsidRDefault="008E11F2" w:rsidP="008E11F2">
      <w:pPr>
        <w:ind w:firstLine="708"/>
        <w:rPr>
          <w:i/>
        </w:rPr>
      </w:pPr>
      <w:r w:rsidRPr="00082AA7">
        <w:t xml:space="preserve">Usmernenie v časti 2 </w:t>
      </w:r>
      <w:r w:rsidR="00AF0AB5" w:rsidRPr="00082AA7">
        <w:t xml:space="preserve">bod </w:t>
      </w:r>
      <w:r w:rsidRPr="00082AA7">
        <w:t xml:space="preserve">20 uvádza: </w:t>
      </w:r>
      <w:r w:rsidR="002925F5" w:rsidRPr="00082AA7">
        <w:t>„</w:t>
      </w:r>
      <w:r w:rsidRPr="00082AA7">
        <w:rPr>
          <w:i/>
        </w:rPr>
        <w:t>Na účely týchto usmernení sa podnik považuje za podnik v ťažkostiach, keď je bez intervencie štátu takmer s určitosťou odsúdený na vylúčenie z podnikateľskej činnosti v krátkodobom alebo strednodobom horizonte. Podnik sa preto považuje za podnik v ťažkostiach vtedy, ak nastane aspoň jedna z nasledujúcich okolností:</w:t>
      </w:r>
    </w:p>
    <w:p w14:paraId="7229EFB1" w14:textId="31EB88FE" w:rsidR="008E11F2" w:rsidRPr="00082AA7" w:rsidRDefault="008E11F2" w:rsidP="008E11F2">
      <w:pPr>
        <w:rPr>
          <w:i/>
        </w:rPr>
      </w:pPr>
      <w:r w:rsidRPr="00082AA7">
        <w:rPr>
          <w:i/>
        </w:rPr>
        <w:t>a) v prípade spoločnosti s ručením obmedzeným</w:t>
      </w:r>
      <w:r w:rsidR="00421410" w:rsidRPr="00082AA7">
        <w:rPr>
          <w:rStyle w:val="Odkaznapoznmkupodiarou"/>
          <w:i/>
        </w:rPr>
        <w:footnoteReference w:id="1"/>
      </w:r>
      <w:r w:rsidRPr="00082AA7">
        <w:rPr>
          <w:i/>
        </w:rPr>
        <w:t>, keď sa viac ako polovica jej upísaného základného imania</w:t>
      </w:r>
      <w:r w:rsidR="00706949" w:rsidRPr="00082AA7">
        <w:rPr>
          <w:rStyle w:val="Odkaznapoznmkupodiarou"/>
          <w:i/>
        </w:rPr>
        <w:footnoteReference w:id="2"/>
      </w:r>
      <w:r w:rsidRPr="00082AA7">
        <w:rPr>
          <w:i/>
        </w:rPr>
        <w:t xml:space="preserve"> prekryla akumulovanými stratami. To je prípad</w:t>
      </w:r>
      <w:r w:rsidR="00B81820" w:rsidRPr="00082AA7">
        <w:rPr>
          <w:i/>
        </w:rPr>
        <w:t>,</w:t>
      </w:r>
      <w:r w:rsidRPr="00082AA7">
        <w:rPr>
          <w:i/>
        </w:rPr>
        <w:t xml:space="preserve"> keď odpočet akumulovanej straty z rezerv (a všetkých ostatných prvkov všeobecne považovaných za súčasť vlastných zdrojov spoločnosti) vedie k zápornej súhrn</w:t>
      </w:r>
      <w:r w:rsidR="000912B8" w:rsidRPr="00082AA7">
        <w:rPr>
          <w:i/>
        </w:rPr>
        <w:t>n</w:t>
      </w:r>
      <w:r w:rsidRPr="00082AA7">
        <w:rPr>
          <w:i/>
        </w:rPr>
        <w:t>ej sume, ktorá presahuje polovicu upísaného základného imania</w:t>
      </w:r>
      <w:r w:rsidR="00B81820" w:rsidRPr="008E79AC">
        <w:rPr>
          <w:i/>
        </w:rPr>
        <w:t>;</w:t>
      </w:r>
    </w:p>
    <w:p w14:paraId="4DDD4A98" w14:textId="19348D9D" w:rsidR="008E11F2" w:rsidRPr="00082AA7" w:rsidRDefault="008E11F2" w:rsidP="008E11F2">
      <w:pPr>
        <w:rPr>
          <w:i/>
        </w:rPr>
      </w:pPr>
      <w:r w:rsidRPr="00082AA7">
        <w:rPr>
          <w:i/>
        </w:rPr>
        <w:t>b) v prípade spoločnosti, kde aspoň niektor</w:t>
      </w:r>
      <w:r w:rsidR="000D26BF" w:rsidRPr="00082AA7">
        <w:rPr>
          <w:i/>
        </w:rPr>
        <w:t>í</w:t>
      </w:r>
      <w:r w:rsidRPr="00082AA7">
        <w:rPr>
          <w:i/>
        </w:rPr>
        <w:t xml:space="preserve"> spoločníci neobmedzene ručia za záväzky spoločnosti</w:t>
      </w:r>
      <w:r w:rsidR="00CD7D84" w:rsidRPr="00082AA7">
        <w:rPr>
          <w:rStyle w:val="Odkaznapoznmkupodiarou"/>
          <w:i/>
        </w:rPr>
        <w:footnoteReference w:id="3"/>
      </w:r>
      <w:r w:rsidRPr="00082AA7">
        <w:rPr>
          <w:i/>
        </w:rPr>
        <w:t>, k</w:t>
      </w:r>
      <w:r w:rsidR="00B81820" w:rsidRPr="00082AA7">
        <w:rPr>
          <w:i/>
        </w:rPr>
        <w:t>eď</w:t>
      </w:r>
      <w:r w:rsidRPr="00082AA7">
        <w:rPr>
          <w:i/>
        </w:rPr>
        <w:t xml:space="preserve"> sa viac ako polovica kapitálu vykazovaného na účtoch firmy prekryla akumulovanými stratami</w:t>
      </w:r>
      <w:r w:rsidR="00B81820" w:rsidRPr="00082AA7">
        <w:rPr>
          <w:i/>
        </w:rPr>
        <w:t>;</w:t>
      </w:r>
    </w:p>
    <w:p w14:paraId="3D837545" w14:textId="10298712" w:rsidR="008E11F2" w:rsidRPr="00082AA7" w:rsidRDefault="008E11F2" w:rsidP="008E11F2">
      <w:pPr>
        <w:rPr>
          <w:i/>
        </w:rPr>
      </w:pPr>
      <w:r w:rsidRPr="00082AA7">
        <w:rPr>
          <w:i/>
        </w:rPr>
        <w:t>c) keď je podnik predmetom kolektívneho konkurzného konania, alebo spĺňa kritéria podľa vnútroštátneho práva na zaradenie do kolektívneho konkurzného konania na žiadosť veriteľov</w:t>
      </w:r>
      <w:r w:rsidR="00B81820" w:rsidRPr="00082AA7">
        <w:rPr>
          <w:i/>
        </w:rPr>
        <w:t>;</w:t>
      </w:r>
    </w:p>
    <w:p w14:paraId="7736BFEA" w14:textId="77777777" w:rsidR="008E11F2" w:rsidRPr="00082AA7" w:rsidRDefault="000B3E54" w:rsidP="008E11F2">
      <w:pPr>
        <w:rPr>
          <w:i/>
        </w:rPr>
      </w:pPr>
      <w:r w:rsidRPr="00082AA7">
        <w:rPr>
          <w:i/>
        </w:rPr>
        <w:t>d) v prípade podniku, ktorý nie je MSP, keď za posledné dva</w:t>
      </w:r>
      <w:r w:rsidR="00BA2DE5" w:rsidRPr="00082AA7">
        <w:rPr>
          <w:i/>
        </w:rPr>
        <w:t xml:space="preserve"> </w:t>
      </w:r>
      <w:r w:rsidRPr="00082AA7">
        <w:rPr>
          <w:i/>
        </w:rPr>
        <w:t>roky:</w:t>
      </w:r>
    </w:p>
    <w:p w14:paraId="22A5DDA9" w14:textId="77777777" w:rsidR="000B3E54" w:rsidRPr="00082AA7" w:rsidRDefault="00986FAD" w:rsidP="000B3E54">
      <w:pPr>
        <w:numPr>
          <w:ilvl w:val="0"/>
          <w:numId w:val="9"/>
        </w:numPr>
        <w:rPr>
          <w:i/>
        </w:rPr>
      </w:pPr>
      <w:r w:rsidRPr="00082AA7">
        <w:rPr>
          <w:i/>
        </w:rPr>
        <w:t>b</w:t>
      </w:r>
      <w:r w:rsidR="000B3E54" w:rsidRPr="00082AA7">
        <w:rPr>
          <w:i/>
        </w:rPr>
        <w:t>ol ú</w:t>
      </w:r>
      <w:r w:rsidRPr="00082AA7">
        <w:rPr>
          <w:i/>
        </w:rPr>
        <w:t>čtovný pomer dlhu podniku k vlastnému imaniu vyšší než 7,5 a</w:t>
      </w:r>
    </w:p>
    <w:p w14:paraId="50356AEB" w14:textId="242F7882" w:rsidR="00986FAD" w:rsidRPr="00082AA7" w:rsidRDefault="00986FAD" w:rsidP="000B3E54">
      <w:pPr>
        <w:numPr>
          <w:ilvl w:val="0"/>
          <w:numId w:val="9"/>
        </w:numPr>
        <w:rPr>
          <w:i/>
        </w:rPr>
      </w:pPr>
      <w:r w:rsidRPr="00082AA7">
        <w:rPr>
          <w:i/>
        </w:rPr>
        <w:t>pomer zisku podniku pred úrokmi, zdanením a</w:t>
      </w:r>
      <w:r w:rsidR="009A0DCC" w:rsidRPr="00082AA7">
        <w:rPr>
          <w:i/>
        </w:rPr>
        <w:t> </w:t>
      </w:r>
      <w:r w:rsidRPr="00082AA7">
        <w:rPr>
          <w:i/>
        </w:rPr>
        <w:t>odpismi</w:t>
      </w:r>
      <w:r w:rsidR="009A0DCC" w:rsidRPr="00082AA7">
        <w:rPr>
          <w:i/>
        </w:rPr>
        <w:t xml:space="preserve"> (EBITDA)</w:t>
      </w:r>
      <w:r w:rsidRPr="00082AA7">
        <w:rPr>
          <w:i/>
        </w:rPr>
        <w:t xml:space="preserve"> k úrokovému krytiu bol nižší než 1,0</w:t>
      </w:r>
      <w:r w:rsidR="00B81820" w:rsidRPr="00082AA7">
        <w:rPr>
          <w:i/>
        </w:rPr>
        <w:t>.</w:t>
      </w:r>
      <w:r w:rsidR="002925F5" w:rsidRPr="00082AA7">
        <w:rPr>
          <w:i/>
        </w:rPr>
        <w:t>“</w:t>
      </w:r>
    </w:p>
    <w:p w14:paraId="2C53A100" w14:textId="77777777" w:rsidR="00986FAD" w:rsidRPr="00082AA7" w:rsidRDefault="00986FAD" w:rsidP="00986FAD">
      <w:pPr>
        <w:ind w:left="720"/>
        <w:rPr>
          <w:i/>
        </w:rPr>
      </w:pPr>
    </w:p>
    <w:p w14:paraId="1F54387F" w14:textId="707B5661" w:rsidR="00DB7498" w:rsidRPr="00082AA7" w:rsidRDefault="00DB7498" w:rsidP="008E79AC">
      <w:r w:rsidRPr="00082AA7">
        <w:t xml:space="preserve">Bod 20, písm. d), odrážku ii. je potrebné vnímať ako sledovanie ukazovateľa úrokového krytia na základe EBITDA, ktorý má byť nižší než 1,0. Detailný postup výpočtu je uvedený </w:t>
      </w:r>
      <w:r w:rsidRPr="003D1046">
        <w:t xml:space="preserve">v kapitole </w:t>
      </w:r>
      <w:r w:rsidR="006F0A06" w:rsidRPr="003D1046">
        <w:t>4</w:t>
      </w:r>
      <w:r w:rsidRPr="003D1046">
        <w:t>.4.</w:t>
      </w:r>
    </w:p>
    <w:p w14:paraId="7D081C27" w14:textId="77777777" w:rsidR="00DB7498" w:rsidRPr="00082AA7" w:rsidRDefault="00DB7498" w:rsidP="00DB7498">
      <w:pPr>
        <w:rPr>
          <w:b/>
        </w:rPr>
      </w:pPr>
    </w:p>
    <w:p w14:paraId="3B2CF0F7" w14:textId="77777777" w:rsidR="002925F5" w:rsidRPr="00082AA7" w:rsidRDefault="002925F5" w:rsidP="008E79AC">
      <w:pPr>
        <w:rPr>
          <w:i/>
        </w:rPr>
      </w:pPr>
      <w:r w:rsidRPr="00082AA7">
        <w:rPr>
          <w:b/>
        </w:rPr>
        <w:tab/>
      </w:r>
      <w:r w:rsidRPr="00082AA7">
        <w:t xml:space="preserve">Usmernenie v časti 2 bod 24 uvádza: </w:t>
      </w:r>
      <w:r w:rsidRPr="008E79AC">
        <w:rPr>
          <w:i/>
        </w:rPr>
        <w:t>“</w:t>
      </w:r>
      <w:r w:rsidRPr="00082AA7">
        <w:rPr>
          <w:i/>
        </w:rPr>
        <w:t>Na účely týchto nariadení a oznámení, a pokiaľ v nich nie je definované inak:</w:t>
      </w:r>
    </w:p>
    <w:p w14:paraId="462503AE" w14:textId="77777777" w:rsidR="008F2E85" w:rsidRPr="008E79AC" w:rsidRDefault="008F2E85" w:rsidP="008E79AC">
      <w:pPr>
        <w:numPr>
          <w:ilvl w:val="0"/>
          <w:numId w:val="25"/>
        </w:numPr>
        <w:rPr>
          <w:b/>
          <w:i/>
        </w:rPr>
      </w:pPr>
      <w:r w:rsidRPr="008E79AC">
        <w:rPr>
          <w:i/>
        </w:rPr>
        <w:t>pod pojmami „podniky v ťažkostiach“ alebo „firmy v ťažkostiach“ by sa mali rozumieť podniky v ťažkostiach v zmysle bodu 20 týchto usmernení a</w:t>
      </w:r>
    </w:p>
    <w:p w14:paraId="150AFCC9" w14:textId="77777777" w:rsidR="002925F5" w:rsidRPr="008E79AC" w:rsidRDefault="008F2E85" w:rsidP="008E79AC">
      <w:pPr>
        <w:numPr>
          <w:ilvl w:val="0"/>
          <w:numId w:val="25"/>
        </w:numPr>
        <w:rPr>
          <w:b/>
          <w:i/>
        </w:rPr>
      </w:pPr>
      <w:r w:rsidRPr="008E79AC">
        <w:rPr>
          <w:i/>
        </w:rPr>
        <w:t>malý a stredný podnik, ktorý existuje menej ako tri roky, sa nebude považovať za podnik v ťažkostiach, pokiaľ nespĺňa podmienky stanovené v bode 20 písm. c).</w:t>
      </w:r>
      <w:r w:rsidR="002925F5" w:rsidRPr="008E79AC">
        <w:rPr>
          <w:i/>
        </w:rPr>
        <w:t>“</w:t>
      </w:r>
    </w:p>
    <w:p w14:paraId="619064F0" w14:textId="77777777" w:rsidR="00DB7498" w:rsidRPr="00082AA7" w:rsidRDefault="00DB7498" w:rsidP="00AB0305">
      <w:pPr>
        <w:spacing w:after="120"/>
        <w:ind w:firstLine="708"/>
      </w:pPr>
      <w:r w:rsidRPr="00082AA7">
        <w:t xml:space="preserve"> </w:t>
      </w:r>
    </w:p>
    <w:p w14:paraId="7B7D34AF" w14:textId="77777777" w:rsidR="00AB0305" w:rsidRPr="00082AA7" w:rsidRDefault="00AB0305" w:rsidP="008E79AC">
      <w:pPr>
        <w:ind w:firstLine="709"/>
      </w:pPr>
      <w:r w:rsidRPr="00082AA7">
        <w:t>Na základe definície uvedenej v prílohe odporúčania Komisie zo 6. mája 2003 týkajúcej sa mikro, malých a stredných podnikov (2003/361/ES) je podľa definičných znakov (počet zamestnancov, výška ročného obratu a celkového majetku) stanovené, že kategóriu mikro, malých a stredných podnikov („MSP“) tvoria podniky, ktoré zamestnávajú menej ako 250 osôb a ktorých ročný obrat nepresahuje 50 mil. EUR a/alebo celková ročná súvaha (celkový majetok) nepresahuje 43 mil. EUR.</w:t>
      </w:r>
    </w:p>
    <w:p w14:paraId="400D2B1C" w14:textId="42EB2023" w:rsidR="005D4581" w:rsidRPr="008E79AC" w:rsidRDefault="005D4581" w:rsidP="008E79AC">
      <w:pPr>
        <w:ind w:firstLine="709"/>
      </w:pPr>
      <w:r w:rsidRPr="008E79AC">
        <w:lastRenderedPageBreak/>
        <w:t>Aplik</w:t>
      </w:r>
      <w:r w:rsidRPr="00082AA7">
        <w:t>á</w:t>
      </w:r>
      <w:r w:rsidRPr="008E79AC">
        <w:t>cio</w:t>
      </w:r>
      <w:r w:rsidRPr="00082AA7">
        <w:t>u zásady opatrnosti a princípu zdravého finančného riadenia</w:t>
      </w:r>
      <w:r w:rsidR="0099685D" w:rsidRPr="00082AA7">
        <w:t xml:space="preserve"> PPA</w:t>
      </w:r>
      <w:r w:rsidRPr="00082AA7">
        <w:t xml:space="preserve"> </w:t>
      </w:r>
      <w:r w:rsidR="0099685D" w:rsidRPr="00082AA7">
        <w:t>vyžaduje</w:t>
      </w:r>
      <w:r w:rsidRPr="00082AA7">
        <w:t xml:space="preserve"> </w:t>
      </w:r>
      <w:r w:rsidR="0099685D" w:rsidRPr="00082AA7">
        <w:t xml:space="preserve">preukazovanie identifikácie podniku v ťažkostiach </w:t>
      </w:r>
      <w:r w:rsidR="003D1046">
        <w:t xml:space="preserve">každý rok </w:t>
      </w:r>
      <w:r w:rsidR="0099685D" w:rsidRPr="00082AA7">
        <w:t>počas trvania projektu.</w:t>
      </w:r>
      <w:r w:rsidRPr="00082AA7">
        <w:t xml:space="preserve"> </w:t>
      </w:r>
    </w:p>
    <w:p w14:paraId="27F90FE1" w14:textId="4D027C2A" w:rsidR="006E0774" w:rsidRDefault="006E0774" w:rsidP="00B118C3">
      <w:pPr>
        <w:ind w:firstLine="708"/>
      </w:pPr>
    </w:p>
    <w:p w14:paraId="404D0F38" w14:textId="77777777" w:rsidR="00FB483E" w:rsidRPr="00082AA7" w:rsidRDefault="00FB483E" w:rsidP="00B118C3">
      <w:pPr>
        <w:ind w:firstLine="708"/>
      </w:pPr>
    </w:p>
    <w:p w14:paraId="18E2E183" w14:textId="016DC3D9" w:rsidR="006E0774" w:rsidRPr="00082AA7" w:rsidRDefault="006E0774" w:rsidP="00180FB4">
      <w:pPr>
        <w:pStyle w:val="Nadpis2"/>
      </w:pPr>
      <w:bookmarkStart w:id="13" w:name="_Toc427334406"/>
      <w:bookmarkStart w:id="14" w:name="_Toc427826094"/>
      <w:bookmarkStart w:id="15" w:name="_Toc427842169"/>
      <w:bookmarkStart w:id="16" w:name="_Toc427854874"/>
      <w:r w:rsidRPr="00180FB4">
        <w:t>Definície</w:t>
      </w:r>
      <w:r w:rsidRPr="008E79AC">
        <w:t xml:space="preserve"> pojmov</w:t>
      </w:r>
      <w:bookmarkEnd w:id="13"/>
      <w:bookmarkEnd w:id="14"/>
      <w:bookmarkEnd w:id="15"/>
      <w:bookmarkEnd w:id="16"/>
    </w:p>
    <w:p w14:paraId="52F22FF6" w14:textId="77777777" w:rsidR="006E0774" w:rsidRPr="008E79AC" w:rsidRDefault="006E0774" w:rsidP="008E79AC">
      <w:pPr>
        <w:rPr>
          <w:lang w:eastAsia="x-none"/>
        </w:rPr>
      </w:pPr>
    </w:p>
    <w:p w14:paraId="0481279A" w14:textId="69D8DFC3" w:rsidR="005D4581" w:rsidRPr="00082AA7" w:rsidRDefault="005D4581" w:rsidP="008E79AC">
      <w:pPr>
        <w:ind w:firstLine="709"/>
      </w:pPr>
      <w:r w:rsidRPr="00082AA7">
        <w:rPr>
          <w:b/>
        </w:rPr>
        <w:t>Pochopenie toho, aký význam Komisia prikladá vlastným zdrojom financovania činnosti podnikateľa, považujeme za kľúčové pre akýkoľvek ďalší výklad</w:t>
      </w:r>
      <w:r w:rsidRPr="00082AA7">
        <w:t>. Usmernenie bližšie nerozvádza štruktúru vlastných zdrojov financovania podniku, nakoľko táto je podrobne stanovená predpismi a postupmi z oblasti účtovníctva. Pre vysvetlenie však môžeme uviesť, že vlastné zdroje podniku sú tvorené predovšetkým základným imaním, rezervným fondom a aktuálnym hospodárskym výsledkom, ďalej nerozdeleným ziskom minulých rokov, ostatnými fondmi tvorenými zo zisku, vkladmi spoločníkov do spoločnosti mimo základného imania (kapitálové fondy). Základné imanie tvorí iba jednu časť vlastných zdrojov a vzhľadom na štruktúru vlastných zdrojov, jeho výška nemusí byť rozhodujúca pre určenie výšky vlastných zdrojov, ktoré má podnik k dispozícii na krytie prípadnej straty.</w:t>
      </w:r>
    </w:p>
    <w:p w14:paraId="5CA95398" w14:textId="08823B94" w:rsidR="006E0774" w:rsidRPr="00082AA7" w:rsidRDefault="001611A1" w:rsidP="008E79AC">
      <w:pPr>
        <w:ind w:firstLine="709"/>
      </w:pPr>
      <w:r w:rsidRPr="00082AA7">
        <w:t xml:space="preserve">Vzhľadom na to, že jednotlivé pojmy nie sú v platnej legislatíve striktne upravené, ich interpretácia môže byť rôzna. </w:t>
      </w:r>
      <w:r w:rsidR="006E0774" w:rsidRPr="00082AA7">
        <w:t>Tabuľk</w:t>
      </w:r>
      <w:r w:rsidR="000C279D" w:rsidRPr="00082AA7">
        <w:t>a</w:t>
      </w:r>
      <w:r w:rsidR="006E0774" w:rsidRPr="00082AA7">
        <w:t xml:space="preserve"> 1 </w:t>
      </w:r>
      <w:r w:rsidRPr="00082AA7">
        <w:t xml:space="preserve">preto </w:t>
      </w:r>
      <w:r w:rsidR="006E0774" w:rsidRPr="00082AA7">
        <w:t>uvádza prehľad vysvetlenia relevantných pojmov</w:t>
      </w:r>
      <w:r w:rsidR="00965753" w:rsidRPr="00082AA7">
        <w:t xml:space="preserve"> pre účely tohto dokumentu</w:t>
      </w:r>
      <w:r w:rsidR="000C279D" w:rsidRPr="00082AA7">
        <w:t xml:space="preserve">, ktoré </w:t>
      </w:r>
      <w:r w:rsidR="006E0774" w:rsidRPr="00082AA7">
        <w:t xml:space="preserve">vychádzajú z medzinárodných štandardov pre finančné výkazníctvo (IFRS) alebo všeobecne používaných definícií účtovných a finančných pojmov v praxi. Pri jednotlivých pojmoch </w:t>
      </w:r>
      <w:r w:rsidR="00FB494A" w:rsidRPr="00082AA7">
        <w:t xml:space="preserve">je </w:t>
      </w:r>
      <w:r w:rsidR="006E0774" w:rsidRPr="00082AA7">
        <w:t xml:space="preserve">v zátvorke </w:t>
      </w:r>
      <w:r w:rsidR="00FB494A" w:rsidRPr="00082AA7">
        <w:t xml:space="preserve">uvedený </w:t>
      </w:r>
      <w:r w:rsidR="006E0774" w:rsidRPr="00082AA7">
        <w:t>aj anglický ekvivalent použitý v anglickej verzii Usmernenia.</w:t>
      </w:r>
    </w:p>
    <w:p w14:paraId="66F8DED5" w14:textId="77777777" w:rsidR="006E0774" w:rsidRPr="00082AA7" w:rsidRDefault="006E0774" w:rsidP="006E0774"/>
    <w:p w14:paraId="748991CE" w14:textId="77777777" w:rsidR="006E0774" w:rsidRPr="00082AA7" w:rsidRDefault="006E0774" w:rsidP="006E0774">
      <w:pPr>
        <w:rPr>
          <w:i/>
        </w:rPr>
      </w:pPr>
      <w:r w:rsidRPr="00082AA7">
        <w:rPr>
          <w:i/>
        </w:rPr>
        <w:t>Tabuľka 1: Vysvetlenia účtovných a finančných pojmov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567"/>
        <w:gridCol w:w="6520"/>
      </w:tblGrid>
      <w:tr w:rsidR="006E0774" w:rsidRPr="00082AA7" w14:paraId="1A504BFE" w14:textId="77777777" w:rsidTr="00906227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</w:tcPr>
          <w:p w14:paraId="5CAB7269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</w:pPr>
            <w:r w:rsidRPr="00082AA7"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  <w:t>Pojem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</w:tcPr>
          <w:p w14:paraId="3851199C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</w:pPr>
            <w:r w:rsidRPr="00082AA7">
              <w:rPr>
                <w:rFonts w:eastAsia="MS Mincho"/>
                <w:b/>
                <w:bCs/>
                <w:i/>
                <w:iCs/>
                <w:color w:val="FFFFFF"/>
                <w:sz w:val="20"/>
                <w:lang w:eastAsia="ja-JP"/>
              </w:rPr>
              <w:t>Vysvetlenie</w:t>
            </w:r>
          </w:p>
        </w:tc>
      </w:tr>
      <w:tr w:rsidR="006E0774" w:rsidRPr="00082AA7" w14:paraId="29D367A1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0C58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i/>
              </w:rPr>
              <w:t>Akumulované straty (Accumulated losses)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40DE" w14:textId="77777777" w:rsidR="006E0774" w:rsidRPr="00082AA7" w:rsidRDefault="006E0774" w:rsidP="00906227">
            <w:pPr>
              <w:rPr>
                <w:szCs w:val="22"/>
              </w:rPr>
            </w:pPr>
            <w:r w:rsidRPr="00082AA7">
              <w:rPr>
                <w:bCs/>
                <w:szCs w:val="22"/>
              </w:rPr>
              <w:t>Neuhradená strata minulých rokov vrátane straty za bežné obdobie ak vznikla</w:t>
            </w:r>
            <w:r w:rsidRPr="00082AA7" w:rsidDel="00AC7913">
              <w:rPr>
                <w:szCs w:val="22"/>
              </w:rPr>
              <w:t xml:space="preserve"> </w:t>
            </w:r>
          </w:p>
        </w:tc>
      </w:tr>
      <w:tr w:rsidR="006E0774" w:rsidRPr="00082AA7" w14:paraId="06CB5EAC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6361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i/>
              </w:rPr>
              <w:t>Vlastné imanie (Equity)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5C8D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t>Rozdiel majetku a záväzkov podniku</w:t>
            </w:r>
          </w:p>
        </w:tc>
      </w:tr>
      <w:tr w:rsidR="006E0774" w:rsidRPr="00082AA7" w14:paraId="2177A834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B0F8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i/>
              </w:rPr>
              <w:t>Dlh (Debt)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0F4AE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bCs/>
              </w:rPr>
              <w:t>Cudzí kapitál, resp. celkové záväzky podniku</w:t>
            </w:r>
          </w:p>
        </w:tc>
      </w:tr>
      <w:tr w:rsidR="006E0774" w:rsidRPr="00082AA7" w14:paraId="0BA90783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A970" w14:textId="6E02CA98" w:rsidR="006E0774" w:rsidRPr="00082AA7" w:rsidRDefault="006E0774" w:rsidP="00082AA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bCs/>
                <w:i/>
              </w:rPr>
              <w:t xml:space="preserve">Ukazovateľ celkovej </w:t>
            </w:r>
            <w:r w:rsidR="00FB483E" w:rsidRPr="00082AA7">
              <w:rPr>
                <w:bCs/>
                <w:i/>
              </w:rPr>
              <w:t>za</w:t>
            </w:r>
            <w:r w:rsidR="00FB483E">
              <w:rPr>
                <w:bCs/>
                <w:i/>
              </w:rPr>
              <w:t>d</w:t>
            </w:r>
            <w:r w:rsidR="00FB483E" w:rsidRPr="00082AA7">
              <w:rPr>
                <w:bCs/>
                <w:i/>
              </w:rPr>
              <w:t>lženosti</w:t>
            </w:r>
            <w:r w:rsidRPr="00082AA7">
              <w:rPr>
                <w:bCs/>
                <w:i/>
              </w:rPr>
              <w:t xml:space="preserve"> k vlastnému imaniu (Debt equity ratio)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D94B" w14:textId="77777777" w:rsidR="006E0774" w:rsidRPr="00082AA7" w:rsidRDefault="006E0774" w:rsidP="00906227">
            <w:pPr>
              <w:tabs>
                <w:tab w:val="left" w:pos="1860"/>
              </w:tabs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bCs/>
              </w:rPr>
              <w:t xml:space="preserve">Pomer cudzieho kapitálu (celkové záväzky)  k vlastnému kapitálu </w:t>
            </w:r>
          </w:p>
        </w:tc>
      </w:tr>
      <w:tr w:rsidR="006E0774" w:rsidRPr="00082AA7" w14:paraId="6CE95BB8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EA67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i/>
              </w:rPr>
              <w:t>Kapitál (Capital)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0C5E" w14:textId="38813E53" w:rsidR="006E0774" w:rsidRPr="00082AA7" w:rsidRDefault="006E0774" w:rsidP="008E79AC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bCs/>
              </w:rPr>
              <w:t>vlastný kapitál (vlastné imanie)</w:t>
            </w:r>
          </w:p>
        </w:tc>
      </w:tr>
      <w:tr w:rsidR="006E0774" w:rsidRPr="00082AA7" w14:paraId="6C3A2A1F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9F6C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i/>
              </w:rPr>
              <w:t>Zisk pred úrokmi, zdanením a odpismi (EBITDA)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DC8F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bCs/>
              </w:rPr>
              <w:t>Súčet zisku podniku po zdanení, dani z príjmov, rozdielu nákladových a výnosových úrokov, odpisov nehmotného a  hmotného  majetku.</w:t>
            </w:r>
          </w:p>
        </w:tc>
      </w:tr>
      <w:tr w:rsidR="006E0774" w:rsidRPr="00082AA7" w14:paraId="4C28BFE7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CEBE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i/>
              </w:rPr>
              <w:t>Ukazovateľ úrokového krytia na základe EBITDA (EBITDA Interest coverage ratio)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FCA8" w14:textId="77777777" w:rsidR="006E0774" w:rsidRPr="00082AA7" w:rsidRDefault="006E0774" w:rsidP="00906227">
            <w:r w:rsidRPr="00082AA7">
              <w:t>Podiel zisku podniku pred úrokmi a zdanením navýšeného o odpisy (EBITDA) a nákladových úrokov</w:t>
            </w:r>
          </w:p>
          <w:p w14:paraId="69D28442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</w:p>
        </w:tc>
      </w:tr>
      <w:tr w:rsidR="006E0774" w:rsidRPr="00082AA7" w14:paraId="6531E2CD" w14:textId="77777777" w:rsidTr="0090622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6D849" w14:textId="77777777" w:rsidR="006E0774" w:rsidRPr="00082AA7" w:rsidRDefault="006E0774" w:rsidP="00906227">
            <w:pPr>
              <w:spacing w:line="276" w:lineRule="auto"/>
              <w:rPr>
                <w:rFonts w:eastAsia="MS Mincho"/>
                <w:szCs w:val="22"/>
                <w:lang w:eastAsia="ja-JP"/>
              </w:rPr>
            </w:pPr>
            <w:r w:rsidRPr="00082AA7">
              <w:rPr>
                <w:rFonts w:eastAsia="MS Mincho"/>
                <w:szCs w:val="22"/>
                <w:lang w:eastAsia="ja-JP"/>
              </w:rPr>
              <w:t>MSP (SME)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3A6A" w14:textId="77777777" w:rsidR="006E0774" w:rsidRPr="00082AA7" w:rsidRDefault="006E0774" w:rsidP="00906227">
            <w:pPr>
              <w:autoSpaceDE w:val="0"/>
              <w:autoSpaceDN w:val="0"/>
              <w:adjustRightInd w:val="0"/>
            </w:pPr>
            <w:r w:rsidRPr="00082AA7">
              <w:t>Na základe definície uvedenej v prílohe odporúčania Komisie zo 6. mája 2003 týkajúcej sa mikro, malých a stredných podnikov (2003/361/ES) je podľa definičných znakov (počet zamestnancov, výška ročného obratu a celkového majetku) stanovené, že kategóriu mikro, malých a stredných podnikov („MSP“) tvoria podniky, ktoré zamestnávajú menej ako 250 osôb a ktorých ročný obrat nepresahuje 50 mil. EUR a/alebo celková ročná súvaha (celkový majetok) nepresahuje 43 mil. EUR.</w:t>
            </w:r>
          </w:p>
        </w:tc>
      </w:tr>
    </w:tbl>
    <w:p w14:paraId="59C531E7" w14:textId="77777777" w:rsidR="00C548E9" w:rsidRPr="00082AA7" w:rsidRDefault="00C548E9" w:rsidP="000E5811"/>
    <w:p w14:paraId="66B6691A" w14:textId="77777777" w:rsidR="00251FED" w:rsidRPr="00082AA7" w:rsidRDefault="00251FED" w:rsidP="00251FED">
      <w:pPr>
        <w:rPr>
          <w:b/>
        </w:rPr>
      </w:pPr>
    </w:p>
    <w:p w14:paraId="073617A6" w14:textId="77777777" w:rsidR="00180FB4" w:rsidRDefault="00180FB4">
      <w:pPr>
        <w:jc w:val="left"/>
        <w:rPr>
          <w:b/>
          <w:caps/>
          <w:color w:val="000066"/>
          <w:sz w:val="24"/>
          <w:szCs w:val="24"/>
        </w:rPr>
      </w:pPr>
      <w:bookmarkStart w:id="17" w:name="_Toc427760997"/>
      <w:bookmarkStart w:id="18" w:name="_Toc427825576"/>
      <w:bookmarkStart w:id="19" w:name="_Toc427826095"/>
      <w:bookmarkStart w:id="20" w:name="_Toc427826211"/>
      <w:bookmarkStart w:id="21" w:name="_Toc427839549"/>
      <w:bookmarkStart w:id="22" w:name="_Toc427839639"/>
      <w:bookmarkStart w:id="23" w:name="_Toc427760998"/>
      <w:bookmarkStart w:id="24" w:name="_Toc427825577"/>
      <w:bookmarkStart w:id="25" w:name="_Toc427826096"/>
      <w:bookmarkStart w:id="26" w:name="_Toc427826212"/>
      <w:bookmarkStart w:id="27" w:name="_Toc427839550"/>
      <w:bookmarkStart w:id="28" w:name="_Toc427839640"/>
      <w:bookmarkStart w:id="29" w:name="_Toc427760999"/>
      <w:bookmarkStart w:id="30" w:name="_Toc427825578"/>
      <w:bookmarkStart w:id="31" w:name="_Toc427826097"/>
      <w:bookmarkStart w:id="32" w:name="_Toc427826213"/>
      <w:bookmarkStart w:id="33" w:name="_Toc427839551"/>
      <w:bookmarkStart w:id="34" w:name="_Toc427839641"/>
      <w:bookmarkStart w:id="35" w:name="_Toc427761000"/>
      <w:bookmarkStart w:id="36" w:name="_Toc427825579"/>
      <w:bookmarkStart w:id="37" w:name="_Toc427826098"/>
      <w:bookmarkStart w:id="38" w:name="_Toc427826214"/>
      <w:bookmarkStart w:id="39" w:name="_Toc427839552"/>
      <w:bookmarkStart w:id="40" w:name="_Toc427839642"/>
      <w:bookmarkStart w:id="41" w:name="_Toc427761001"/>
      <w:bookmarkStart w:id="42" w:name="_Toc427825580"/>
      <w:bookmarkStart w:id="43" w:name="_Toc427826099"/>
      <w:bookmarkStart w:id="44" w:name="_Toc427826215"/>
      <w:bookmarkStart w:id="45" w:name="_Toc427839553"/>
      <w:bookmarkStart w:id="46" w:name="_Toc427839643"/>
      <w:bookmarkStart w:id="47" w:name="_Toc427761002"/>
      <w:bookmarkStart w:id="48" w:name="_Toc427825581"/>
      <w:bookmarkStart w:id="49" w:name="_Toc427826100"/>
      <w:bookmarkStart w:id="50" w:name="_Toc427826216"/>
      <w:bookmarkStart w:id="51" w:name="_Toc427839554"/>
      <w:bookmarkStart w:id="52" w:name="_Toc427839644"/>
      <w:bookmarkStart w:id="53" w:name="_Toc427761003"/>
      <w:bookmarkStart w:id="54" w:name="_Toc427825582"/>
      <w:bookmarkStart w:id="55" w:name="_Toc427826101"/>
      <w:bookmarkStart w:id="56" w:name="_Toc427826217"/>
      <w:bookmarkStart w:id="57" w:name="_Toc427839555"/>
      <w:bookmarkStart w:id="58" w:name="_Toc427839645"/>
      <w:bookmarkStart w:id="59" w:name="_Toc427761004"/>
      <w:bookmarkStart w:id="60" w:name="_Toc427825583"/>
      <w:bookmarkStart w:id="61" w:name="_Toc427826102"/>
      <w:bookmarkStart w:id="62" w:name="_Toc427826218"/>
      <w:bookmarkStart w:id="63" w:name="_Toc427839556"/>
      <w:bookmarkStart w:id="64" w:name="_Toc427839646"/>
      <w:bookmarkStart w:id="65" w:name="_Toc427586732"/>
      <w:bookmarkStart w:id="66" w:name="_Toc427826103"/>
      <w:bookmarkStart w:id="67" w:name="_Toc42784217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br w:type="page"/>
      </w:r>
    </w:p>
    <w:p w14:paraId="5C8E8862" w14:textId="68405627" w:rsidR="00C548E9" w:rsidRPr="008E79AC" w:rsidRDefault="00C548E9" w:rsidP="00180FB4">
      <w:pPr>
        <w:pStyle w:val="Nadpis2"/>
        <w:rPr>
          <w:b w:val="0"/>
          <w:caps w:val="0"/>
        </w:rPr>
      </w:pPr>
      <w:bookmarkStart w:id="68" w:name="_Toc427854875"/>
      <w:r w:rsidRPr="008E79AC">
        <w:lastRenderedPageBreak/>
        <w:t xml:space="preserve">Aplikácia </w:t>
      </w:r>
      <w:r w:rsidR="006543CB" w:rsidRPr="008E79AC">
        <w:t>bodu</w:t>
      </w:r>
      <w:r w:rsidR="00E70D04" w:rsidRPr="008E79AC">
        <w:t xml:space="preserve"> 2</w:t>
      </w:r>
      <w:r w:rsidRPr="008E79AC">
        <w:t xml:space="preserve">0 Usmernenia na jednotlivé typy </w:t>
      </w:r>
      <w:r w:rsidRPr="00180FB4">
        <w:t>obchodných</w:t>
      </w:r>
      <w:r w:rsidRPr="008E79AC">
        <w:t xml:space="preserve"> spoločností a fyzickú osobu – podnikateľa</w:t>
      </w:r>
      <w:bookmarkEnd w:id="65"/>
      <w:bookmarkEnd w:id="66"/>
      <w:bookmarkEnd w:id="67"/>
      <w:bookmarkEnd w:id="68"/>
      <w:r w:rsidR="00FE1257" w:rsidRPr="008E79AC">
        <w:t xml:space="preserve"> </w:t>
      </w:r>
    </w:p>
    <w:p w14:paraId="6312FE54" w14:textId="77777777" w:rsidR="00C548E9" w:rsidRPr="00082AA7" w:rsidRDefault="00C548E9" w:rsidP="000E5811">
      <w:pPr>
        <w:rPr>
          <w:b/>
        </w:rPr>
      </w:pPr>
    </w:p>
    <w:p w14:paraId="6AB3B77A" w14:textId="776BB5F4" w:rsidR="00FF61E0" w:rsidRPr="00082AA7" w:rsidRDefault="00073EAD" w:rsidP="008E79AC">
      <w:pPr>
        <w:ind w:firstLine="720"/>
      </w:pPr>
      <w:r w:rsidRPr="00082AA7">
        <w:t>V súlade s </w:t>
      </w:r>
      <w:r w:rsidR="001A358E">
        <w:t>U</w:t>
      </w:r>
      <w:r w:rsidRPr="00082AA7">
        <w:t>smernením sa p</w:t>
      </w:r>
      <w:r w:rsidR="00FF61E0" w:rsidRPr="00082AA7">
        <w:t xml:space="preserve">odnik sa považuje za podnik v ťažkostiach vtedy, ak nastane aspoň jedna z okolností </w:t>
      </w:r>
      <w:r w:rsidR="0005599F" w:rsidRPr="00082AA7">
        <w:t>uvedených</w:t>
      </w:r>
      <w:r w:rsidR="00FF61E0" w:rsidRPr="00082AA7">
        <w:t xml:space="preserve"> v písmenách a), b), c)</w:t>
      </w:r>
      <w:r w:rsidRPr="00082AA7">
        <w:t xml:space="preserve"> a</w:t>
      </w:r>
      <w:r w:rsidR="00FF61E0" w:rsidRPr="00082AA7">
        <w:t> d).</w:t>
      </w:r>
      <w:r w:rsidRPr="00082AA7">
        <w:t xml:space="preserve"> Nasledujúca časť detailnejšie špecifikuje jednotlivé okolnosti a zároveň ohraničuje platnosť Usmernenia vzhľadom na jednotlivé právne formy podnikov a taktiež spôsob vedenia účtovníctva.</w:t>
      </w:r>
    </w:p>
    <w:p w14:paraId="15951DB0" w14:textId="77777777" w:rsidR="00FF61E0" w:rsidRPr="00082AA7" w:rsidRDefault="00FF61E0" w:rsidP="000E5811">
      <w:pPr>
        <w:rPr>
          <w:b/>
        </w:rPr>
      </w:pPr>
    </w:p>
    <w:p w14:paraId="14A0966C" w14:textId="2AB28A62" w:rsidR="00E05DD2" w:rsidRPr="008E79AC" w:rsidRDefault="00AF0AB5" w:rsidP="00180FB4">
      <w:pPr>
        <w:pStyle w:val="Nadpis3"/>
      </w:pPr>
      <w:bookmarkStart w:id="69" w:name="_Toc427586733"/>
      <w:bookmarkStart w:id="70" w:name="_Toc427826104"/>
      <w:bookmarkStart w:id="71" w:name="_Toc427842171"/>
      <w:bookmarkStart w:id="72" w:name="_Toc427854876"/>
      <w:r w:rsidRPr="008E79AC">
        <w:t xml:space="preserve">Písm. a) - </w:t>
      </w:r>
      <w:r w:rsidR="00FF66C9" w:rsidRPr="008E79AC">
        <w:t>s</w:t>
      </w:r>
      <w:r w:rsidR="00C548E9" w:rsidRPr="008E79AC">
        <w:t>poločnosť s ručením obmedzeným, akciová spoločno</w:t>
      </w:r>
      <w:r w:rsidR="00FE1257" w:rsidRPr="008E79AC">
        <w:t>sť</w:t>
      </w:r>
      <w:r w:rsidR="00614AB3" w:rsidRPr="008E79AC">
        <w:t>,</w:t>
      </w:r>
      <w:r w:rsidR="00E05DD2" w:rsidRPr="008E79AC">
        <w:t> </w:t>
      </w:r>
      <w:r w:rsidR="00C548E9" w:rsidRPr="008E79AC">
        <w:t>družstvo</w:t>
      </w:r>
      <w:bookmarkEnd w:id="69"/>
      <w:r w:rsidR="00614AB3" w:rsidRPr="008E79AC">
        <w:t>, štátny podnik, pozemkové spoločenstvo</w:t>
      </w:r>
      <w:bookmarkEnd w:id="70"/>
      <w:bookmarkEnd w:id="71"/>
      <w:bookmarkEnd w:id="72"/>
    </w:p>
    <w:p w14:paraId="6A7E86D8" w14:textId="77777777" w:rsidR="00AF0AB5" w:rsidRPr="00180FB4" w:rsidRDefault="00AF0AB5" w:rsidP="00180FB4"/>
    <w:p w14:paraId="13080987" w14:textId="13848D2E" w:rsidR="00C548E9" w:rsidRPr="00082AA7" w:rsidRDefault="00C548E9" w:rsidP="008E79AC">
      <w:pPr>
        <w:autoSpaceDE w:val="0"/>
        <w:autoSpaceDN w:val="0"/>
        <w:adjustRightInd w:val="0"/>
        <w:spacing w:after="120"/>
        <w:ind w:firstLine="708"/>
      </w:pPr>
      <w:r w:rsidRPr="00082AA7">
        <w:t>V prvom rade je potrebné ustáliť okruh spoločností, ktorý</w:t>
      </w:r>
      <w:r w:rsidR="00E70D04" w:rsidRPr="00082AA7">
        <w:t xml:space="preserve">ch sa </w:t>
      </w:r>
      <w:r w:rsidR="00614AB3" w:rsidRPr="00082AA7">
        <w:t xml:space="preserve">znenie </w:t>
      </w:r>
      <w:r w:rsidR="00AF0AB5" w:rsidRPr="00082AA7">
        <w:t xml:space="preserve">bodu 20 </w:t>
      </w:r>
      <w:r w:rsidR="00E70D04" w:rsidRPr="00082AA7">
        <w:t xml:space="preserve">písm. a) </w:t>
      </w:r>
      <w:r w:rsidRPr="00082AA7">
        <w:t>Usmernenia týka. Hoci v samotnom texte Usmernenia sa výslovne uvádza len spoločnosť s ručením obmedzeným, text Usmernenia obsahuje odkaz pod čiarou, podľa ktorého sa toto pravidlo vzťahuje na všetky druhy spoločností, ktoré sú uvedené v</w:t>
      </w:r>
      <w:r w:rsidR="0078681E" w:rsidRPr="00082AA7">
        <w:t> prílohe I. k smernici Európskeho parlamentu a Rady 2013</w:t>
      </w:r>
      <w:r w:rsidRPr="00082AA7">
        <w:t>/</w:t>
      </w:r>
      <w:r w:rsidR="0078681E" w:rsidRPr="00082AA7">
        <w:t>34</w:t>
      </w:r>
      <w:r w:rsidRPr="00082AA7">
        <w:t>/E</w:t>
      </w:r>
      <w:r w:rsidR="0078681E" w:rsidRPr="00082AA7">
        <w:t>Ú</w:t>
      </w:r>
      <w:r w:rsidRPr="00082AA7">
        <w:t xml:space="preserve">. </w:t>
      </w:r>
      <w:r w:rsidR="00614AB3" w:rsidRPr="00082AA7">
        <w:t xml:space="preserve">Bod </w:t>
      </w:r>
      <w:r w:rsidR="0078681E" w:rsidRPr="00082AA7">
        <w:t>20</w:t>
      </w:r>
      <w:r w:rsidRPr="00082AA7">
        <w:t xml:space="preserve"> písm. a) Usmernenia </w:t>
      </w:r>
      <w:r w:rsidR="0078681E" w:rsidRPr="00082AA7">
        <w:t>sa</w:t>
      </w:r>
      <w:r w:rsidR="000912B8" w:rsidRPr="00082AA7">
        <w:t xml:space="preserve"> vzťahuje</w:t>
      </w:r>
      <w:r w:rsidR="0078681E" w:rsidRPr="00082AA7">
        <w:t xml:space="preserve"> aj na akciovú spoločnosť</w:t>
      </w:r>
      <w:r w:rsidR="00614AB3" w:rsidRPr="00082AA7">
        <w:t>,</w:t>
      </w:r>
      <w:r w:rsidRPr="00082AA7">
        <w:t xml:space="preserve"> družstvo</w:t>
      </w:r>
      <w:r w:rsidR="00614AB3" w:rsidRPr="00082AA7">
        <w:t xml:space="preserve">, štátny podnik a pozemkové spoločenstvo. </w:t>
      </w:r>
    </w:p>
    <w:p w14:paraId="36623997" w14:textId="03810811" w:rsidR="00C548E9" w:rsidRPr="00082AA7" w:rsidRDefault="00C548E9" w:rsidP="008E79AC">
      <w:pPr>
        <w:autoSpaceDE w:val="0"/>
        <w:autoSpaceDN w:val="0"/>
        <w:adjustRightInd w:val="0"/>
        <w:spacing w:after="120"/>
        <w:ind w:firstLine="708"/>
      </w:pPr>
      <w:r w:rsidRPr="00082AA7">
        <w:t>Usmerneni</w:t>
      </w:r>
      <w:r w:rsidR="00BA69A3" w:rsidRPr="00082AA7">
        <w:t>e bodu 20 písm. a)</w:t>
      </w:r>
      <w:r w:rsidRPr="00082AA7">
        <w:t xml:space="preserve"> hovorí, že ide o podnik v ťažkostiach</w:t>
      </w:r>
      <w:r w:rsidR="00E70D04" w:rsidRPr="00082AA7">
        <w:t xml:space="preserve"> </w:t>
      </w:r>
      <w:r w:rsidR="00073EAD" w:rsidRPr="00082AA7">
        <w:t>„</w:t>
      </w:r>
      <w:r w:rsidR="00E70D04" w:rsidRPr="008E79AC">
        <w:rPr>
          <w:i/>
        </w:rPr>
        <w:t>v prípade</w:t>
      </w:r>
      <w:r w:rsidR="00073EAD" w:rsidRPr="00082AA7">
        <w:rPr>
          <w:i/>
        </w:rPr>
        <w:t xml:space="preserve"> </w:t>
      </w:r>
      <w:r w:rsidR="00E70D04" w:rsidRPr="00082AA7">
        <w:rPr>
          <w:i/>
        </w:rPr>
        <w:t>spoločnosti s ručením obmedzen</w:t>
      </w:r>
      <w:r w:rsidR="00BA69A3" w:rsidRPr="00082AA7">
        <w:rPr>
          <w:i/>
        </w:rPr>
        <w:t>ím</w:t>
      </w:r>
      <w:r w:rsidR="00BA69A3" w:rsidRPr="00082AA7">
        <w:rPr>
          <w:rStyle w:val="Odkaznapoznmkupodiarou"/>
          <w:i/>
        </w:rPr>
        <w:footnoteReference w:id="4"/>
      </w:r>
      <w:r w:rsidR="00E70D04" w:rsidRPr="00082AA7">
        <w:rPr>
          <w:i/>
        </w:rPr>
        <w:t>, keď sa viac ako polovica jej upísaného základného imania</w:t>
      </w:r>
      <w:r w:rsidR="00BA69A3" w:rsidRPr="00082AA7">
        <w:rPr>
          <w:rStyle w:val="Odkaznapoznmkupodiarou"/>
          <w:i/>
        </w:rPr>
        <w:footnoteReference w:id="5"/>
      </w:r>
      <w:r w:rsidR="00E70D04" w:rsidRPr="00082AA7">
        <w:rPr>
          <w:i/>
        </w:rPr>
        <w:t xml:space="preserve"> prekryla akumulovanými stratami. To je prípad</w:t>
      </w:r>
      <w:r w:rsidR="00073EAD" w:rsidRPr="00082AA7">
        <w:rPr>
          <w:i/>
        </w:rPr>
        <w:t>,</w:t>
      </w:r>
      <w:r w:rsidR="00E70D04" w:rsidRPr="00082AA7">
        <w:rPr>
          <w:i/>
        </w:rPr>
        <w:t xml:space="preserve"> keď odpočet akumulovanej straty z rezerv (a všetkých ostatných prvkov všeobecne považovaných za súčasť vlastných zdrojov spoločnosti) vedie k zápornej súhr</w:t>
      </w:r>
      <w:r w:rsidR="000912B8" w:rsidRPr="00082AA7">
        <w:rPr>
          <w:i/>
        </w:rPr>
        <w:t>n</w:t>
      </w:r>
      <w:r w:rsidR="00E70D04" w:rsidRPr="00082AA7">
        <w:rPr>
          <w:i/>
        </w:rPr>
        <w:t>nej sume, ktorá presahuje polovicu upísaného základného imania“</w:t>
      </w:r>
      <w:r w:rsidRPr="00082AA7">
        <w:t xml:space="preserve">. Splnenie </w:t>
      </w:r>
      <w:r w:rsidR="006F38E0" w:rsidRPr="00082AA7">
        <w:t>tejto podmienky</w:t>
      </w:r>
      <w:r w:rsidRPr="00082AA7">
        <w:t xml:space="preserve"> sa preveruje </w:t>
      </w:r>
      <w:r w:rsidR="006F38E0" w:rsidRPr="00082AA7">
        <w:t>nasledovne</w:t>
      </w:r>
      <w:r w:rsidRPr="00082AA7">
        <w:t>:</w:t>
      </w:r>
    </w:p>
    <w:p w14:paraId="71481C83" w14:textId="5E215227" w:rsidR="006F38E0" w:rsidRPr="00082AA7" w:rsidRDefault="00DF717F" w:rsidP="00180FB4">
      <w:pPr>
        <w:numPr>
          <w:ilvl w:val="0"/>
          <w:numId w:val="18"/>
        </w:numPr>
        <w:spacing w:after="120"/>
        <w:ind w:hanging="359"/>
      </w:pPr>
      <w:r w:rsidRPr="00082AA7">
        <w:t xml:space="preserve">ak hodnota uvedená v riadku </w:t>
      </w:r>
      <w:r w:rsidRPr="008E79AC">
        <w:t>80</w:t>
      </w:r>
      <w:r w:rsidRPr="00082AA7">
        <w:t xml:space="preserve"> (Vlastné imanie) mínus hodnota uvedená v riadku </w:t>
      </w:r>
      <w:r w:rsidRPr="008E79AC">
        <w:t>81 (Z</w:t>
      </w:r>
      <w:r w:rsidRPr="00082AA7">
        <w:t>ákladné imanie</w:t>
      </w:r>
      <w:r w:rsidRPr="008E79AC">
        <w:t>) m</w:t>
      </w:r>
      <w:r w:rsidRPr="00082AA7">
        <w:t xml:space="preserve">ínus hodnota uvedená v riadku </w:t>
      </w:r>
      <w:r w:rsidRPr="008E79AC">
        <w:t>85 (Emisn</w:t>
      </w:r>
      <w:r w:rsidRPr="00082AA7">
        <w:t>é ážio</w:t>
      </w:r>
      <w:r w:rsidRPr="008E79AC">
        <w:t>)</w:t>
      </w:r>
      <w:r w:rsidR="00F41F8B" w:rsidRPr="008E79AC">
        <w:rPr>
          <w:rStyle w:val="Odkaznapoznmkupodiarou"/>
        </w:rPr>
        <w:footnoteReference w:id="6"/>
      </w:r>
      <w:r w:rsidRPr="008E79AC">
        <w:t xml:space="preserve"> </w:t>
      </w:r>
      <w:r w:rsidRPr="00082AA7">
        <w:t xml:space="preserve"> predstavuje zápornú hodnot</w:t>
      </w:r>
      <w:r w:rsidRPr="008E79AC">
        <w:t>u</w:t>
      </w:r>
      <w:r w:rsidRPr="00082AA7">
        <w:t xml:space="preserve"> a jej absolútna hodnota je väčšia ako ½ hodnoty uvedenej v riadku 81 (Základné imanie) za bežné obdobie súvahy, ide o podnik v ťažkostiach.</w:t>
      </w:r>
    </w:p>
    <w:p w14:paraId="5C1C85C5" w14:textId="665BF161" w:rsidR="00421410" w:rsidRPr="00082AA7" w:rsidRDefault="006F38E0" w:rsidP="00180FB4">
      <w:pPr>
        <w:numPr>
          <w:ilvl w:val="0"/>
          <w:numId w:val="18"/>
        </w:numPr>
        <w:spacing w:after="120"/>
        <w:ind w:hanging="359"/>
        <w:rPr>
          <w:szCs w:val="16"/>
        </w:rPr>
      </w:pPr>
      <w:r w:rsidRPr="00082AA7">
        <w:t>A</w:t>
      </w:r>
      <w:r w:rsidR="00421410" w:rsidRPr="00082AA7">
        <w:t xml:space="preserve">k žiadateľ využíva štatút mikro účtovnej jednotky, tak potom ak hodnota uvedená v riadku 25 (Vlastné imanie) mínus hodnota uvedená v riadku 26 (Základné imanie) mínus hodnota účtu 412: Emisné ážio (aplikovateľné pre akciové spoločnosti) predstavuje zápornú hodnotu a jej absolútna hodnota je väčšia ako ½ hodnoty uvedenej v riadku 26 (Základné imanie) za bežné obdobie súvahy, ide o podnik v ťažkostiach. </w:t>
      </w:r>
    </w:p>
    <w:p w14:paraId="626C3235" w14:textId="77777777" w:rsidR="00DE2C8F" w:rsidRPr="00082AA7" w:rsidRDefault="00DE2C8F" w:rsidP="008E79AC">
      <w:pPr>
        <w:spacing w:after="120"/>
        <w:ind w:left="1428"/>
      </w:pPr>
    </w:p>
    <w:p w14:paraId="6BCEF70A" w14:textId="2F370454" w:rsidR="006F38E0" w:rsidRPr="008E79AC" w:rsidRDefault="006F38E0" w:rsidP="00180FB4">
      <w:pPr>
        <w:pStyle w:val="Nadpis3"/>
      </w:pPr>
      <w:bookmarkStart w:id="73" w:name="_Toc427586734"/>
      <w:bookmarkStart w:id="74" w:name="_Toc427826105"/>
      <w:bookmarkStart w:id="75" w:name="_Toc427842172"/>
      <w:bookmarkStart w:id="76" w:name="_Toc427854877"/>
      <w:r w:rsidRPr="00180FB4">
        <w:t>Písm</w:t>
      </w:r>
      <w:r w:rsidRPr="008E79AC">
        <w:t xml:space="preserve">. b) </w:t>
      </w:r>
      <w:r w:rsidR="00C7440A" w:rsidRPr="008E79AC">
        <w:t xml:space="preserve">- </w:t>
      </w:r>
      <w:r w:rsidR="00E11312" w:rsidRPr="008E79AC">
        <w:t>fyzická osoba – podnikateľ</w:t>
      </w:r>
      <w:r w:rsidR="00FE1257" w:rsidRPr="008E79AC">
        <w:t xml:space="preserve">, </w:t>
      </w:r>
      <w:r w:rsidR="00E11312" w:rsidRPr="008E79AC">
        <w:t>verejná obchodná</w:t>
      </w:r>
      <w:r w:rsidR="00F91A3B" w:rsidRPr="008E79AC">
        <w:t xml:space="preserve"> spoločnosť </w:t>
      </w:r>
      <w:r w:rsidR="00FE1257" w:rsidRPr="008E79AC">
        <w:t>a komanditná spoločnosť</w:t>
      </w:r>
      <w:bookmarkEnd w:id="73"/>
      <w:bookmarkEnd w:id="74"/>
      <w:bookmarkEnd w:id="75"/>
      <w:bookmarkEnd w:id="76"/>
    </w:p>
    <w:p w14:paraId="7DE82806" w14:textId="6CADCC00" w:rsidR="00E11312" w:rsidRPr="00082AA7" w:rsidRDefault="00E11312" w:rsidP="008E79AC">
      <w:pPr>
        <w:ind w:left="360"/>
        <w:rPr>
          <w:b/>
        </w:rPr>
      </w:pPr>
    </w:p>
    <w:p w14:paraId="4E5475E0" w14:textId="76ED3C1C" w:rsidR="00C16B4B" w:rsidRPr="00082AA7" w:rsidRDefault="00B81820" w:rsidP="00C16B4B">
      <w:pPr>
        <w:autoSpaceDE w:val="0"/>
        <w:autoSpaceDN w:val="0"/>
        <w:adjustRightInd w:val="0"/>
        <w:spacing w:after="120"/>
        <w:ind w:firstLine="708"/>
      </w:pPr>
      <w:r w:rsidRPr="00082AA7">
        <w:t>Usmernenie bodu 20 písm. b) hovorí, že ide o podnik v ťažkostiach: „</w:t>
      </w:r>
      <w:r w:rsidR="00C16B4B" w:rsidRPr="00082AA7">
        <w:rPr>
          <w:i/>
        </w:rPr>
        <w:t>v prípade spoločnosti, kde aspoň niektorí spoločníci neobmedzene ručia za záväzky spoločnosti</w:t>
      </w:r>
      <w:r w:rsidR="00C16B4B" w:rsidRPr="00082AA7">
        <w:rPr>
          <w:rStyle w:val="Odkaznapoznmkupodiarou"/>
          <w:i/>
        </w:rPr>
        <w:footnoteReference w:id="7"/>
      </w:r>
      <w:r w:rsidR="00C16B4B" w:rsidRPr="00082AA7">
        <w:rPr>
          <w:i/>
        </w:rPr>
        <w:t>, keď sa viac ako polovica kapitálu vykazovaného na účtoch firmy prekryla akumulovanými stratami</w:t>
      </w:r>
      <w:r w:rsidR="000C1F96" w:rsidRPr="00082AA7">
        <w:rPr>
          <w:i/>
        </w:rPr>
        <w:t>.</w:t>
      </w:r>
      <w:r w:rsidR="00F91A3B" w:rsidRPr="00082AA7">
        <w:rPr>
          <w:i/>
        </w:rPr>
        <w:t xml:space="preserve">“ </w:t>
      </w:r>
      <w:r w:rsidR="00C16B4B" w:rsidRPr="00082AA7">
        <w:t>Splnenie tejto podmienky sa preveruje nasledovne:</w:t>
      </w:r>
    </w:p>
    <w:p w14:paraId="1EEBB1AF" w14:textId="2ADFFD41" w:rsidR="00654C84" w:rsidRPr="00082AA7" w:rsidRDefault="00C16B4B" w:rsidP="008E79AC">
      <w:pPr>
        <w:numPr>
          <w:ilvl w:val="0"/>
          <w:numId w:val="22"/>
        </w:numPr>
        <w:rPr>
          <w:b/>
        </w:rPr>
      </w:pPr>
      <w:r w:rsidRPr="008E79AC">
        <w:rPr>
          <w:b/>
        </w:rPr>
        <w:t>Ž</w:t>
      </w:r>
      <w:r w:rsidR="00E11312" w:rsidRPr="00082AA7">
        <w:rPr>
          <w:b/>
        </w:rPr>
        <w:t>iadate</w:t>
      </w:r>
      <w:r w:rsidRPr="008E79AC">
        <w:rPr>
          <w:b/>
        </w:rPr>
        <w:t xml:space="preserve">lia </w:t>
      </w:r>
      <w:r w:rsidR="00E11312" w:rsidRPr="00082AA7">
        <w:rPr>
          <w:b/>
        </w:rPr>
        <w:t>účtujúci v</w:t>
      </w:r>
      <w:r w:rsidR="00F91A3B" w:rsidRPr="00082AA7">
        <w:rPr>
          <w:b/>
        </w:rPr>
        <w:t> </w:t>
      </w:r>
      <w:r w:rsidR="00DF284B" w:rsidRPr="00082AA7">
        <w:rPr>
          <w:b/>
        </w:rPr>
        <w:t>sústave</w:t>
      </w:r>
      <w:r w:rsidR="00E11312" w:rsidRPr="00082AA7">
        <w:rPr>
          <w:b/>
        </w:rPr>
        <w:t xml:space="preserve"> podvojného účtovníctva</w:t>
      </w:r>
    </w:p>
    <w:p w14:paraId="0521C5EA" w14:textId="05FAA8C4" w:rsidR="00071E23" w:rsidRPr="008E79AC" w:rsidRDefault="00071E23" w:rsidP="008E79AC">
      <w:pPr>
        <w:numPr>
          <w:ilvl w:val="0"/>
          <w:numId w:val="20"/>
        </w:numPr>
        <w:spacing w:after="120"/>
        <w:rPr>
          <w:u w:val="single"/>
        </w:rPr>
      </w:pPr>
      <w:r w:rsidRPr="00082AA7">
        <w:t xml:space="preserve">ak </w:t>
      </w:r>
      <w:r w:rsidR="00F41F8B" w:rsidRPr="00082AA7">
        <w:t xml:space="preserve">súčet hodnoty na </w:t>
      </w:r>
      <w:r w:rsidRPr="00082AA7">
        <w:t xml:space="preserve"> riadku 100 (Výsledok hospodárenia za účtovné obdobie po zdanení) predstavuje stratu (záporná hodnota) </w:t>
      </w:r>
      <w:r w:rsidR="00F41F8B" w:rsidRPr="00082AA7">
        <w:t>a hodnot</w:t>
      </w:r>
      <w:r w:rsidR="002E7E5B">
        <w:t>a</w:t>
      </w:r>
      <w:r w:rsidR="00F41F8B" w:rsidRPr="00082AA7">
        <w:t xml:space="preserve"> </w:t>
      </w:r>
      <w:r w:rsidR="00421410" w:rsidRPr="00082AA7">
        <w:t>neuhraden</w:t>
      </w:r>
      <w:r w:rsidR="00F41F8B" w:rsidRPr="00082AA7">
        <w:t xml:space="preserve">ej </w:t>
      </w:r>
      <w:r w:rsidR="00421410" w:rsidRPr="00082AA7">
        <w:t xml:space="preserve"> stra</w:t>
      </w:r>
      <w:r w:rsidR="00F41F8B" w:rsidRPr="00082AA7">
        <w:t>ty</w:t>
      </w:r>
      <w:r w:rsidR="00421410" w:rsidRPr="00082AA7">
        <w:t xml:space="preserve"> minulých rokov na riadku s názvom „Neuhradená strata minulých rokov“ (r. 99) predstavuje  </w:t>
      </w:r>
      <w:r w:rsidR="00421410" w:rsidRPr="00082AA7">
        <w:lastRenderedPageBreak/>
        <w:t xml:space="preserve">zápornú hodnotu </w:t>
      </w:r>
      <w:r w:rsidRPr="00082AA7">
        <w:t>a jej absolútna hodnota je väčšia ako ½ hodnoty uvedenej v riadku 80 (Vlastné imanie) za bežné obdobie súvahy, ide o podnik v</w:t>
      </w:r>
      <w:r w:rsidR="00C16B4B" w:rsidRPr="00082AA7">
        <w:t> </w:t>
      </w:r>
      <w:r w:rsidRPr="00082AA7">
        <w:t>ťažkostiach</w:t>
      </w:r>
      <w:r w:rsidR="00C16B4B" w:rsidRPr="00082AA7">
        <w:t>.</w:t>
      </w:r>
    </w:p>
    <w:p w14:paraId="7BB250C2" w14:textId="4DE2476F" w:rsidR="00421410" w:rsidRPr="00082AA7" w:rsidRDefault="00C16B4B" w:rsidP="008E79AC">
      <w:pPr>
        <w:numPr>
          <w:ilvl w:val="0"/>
          <w:numId w:val="20"/>
        </w:numPr>
        <w:spacing w:after="120"/>
        <w:rPr>
          <w:u w:val="single"/>
        </w:rPr>
      </w:pPr>
      <w:r w:rsidRPr="00082AA7">
        <w:t>A</w:t>
      </w:r>
      <w:r w:rsidR="00421410" w:rsidRPr="00082AA7">
        <w:t>k žiadateľ využíva štatút mikro účtovnej jednotky, tak potom ak</w:t>
      </w:r>
      <w:r w:rsidR="00F41F8B" w:rsidRPr="00082AA7">
        <w:t xml:space="preserve"> súčet  hodnoty</w:t>
      </w:r>
      <w:r w:rsidR="00421410" w:rsidRPr="00082AA7">
        <w:t xml:space="preserve"> na riadku </w:t>
      </w:r>
      <w:r w:rsidR="00421410" w:rsidRPr="008E79AC">
        <w:t>33</w:t>
      </w:r>
      <w:r w:rsidR="00421410" w:rsidRPr="00082AA7">
        <w:t xml:space="preserve"> „Výsledok hospodárenia</w:t>
      </w:r>
      <w:r w:rsidR="002E7E5B">
        <w:t xml:space="preserve"> za účtovné obdobie po zdanení“</w:t>
      </w:r>
      <w:r w:rsidR="00F41F8B" w:rsidRPr="00082AA7">
        <w:t xml:space="preserve"> </w:t>
      </w:r>
      <w:r w:rsidR="00421410" w:rsidRPr="00082AA7">
        <w:t>predstavuje stratu (záporná hodnota)  </w:t>
      </w:r>
      <w:r w:rsidR="00F41F8B" w:rsidRPr="00082AA7">
        <w:t>a hodnota</w:t>
      </w:r>
      <w:r w:rsidR="00421410" w:rsidRPr="00082AA7">
        <w:t xml:space="preserve"> na účte 429 „Neuhradená strata minulých rokov“  podľa stavu v účtovníctve predstavuje  zápornú hodnotu a jej absolútna hodnota je väčšia ako ½ hodnoty uvedenej v riadku 80 (Vlastné imanie) za bežné obdobie súvahy, ide o podnik v</w:t>
      </w:r>
      <w:r w:rsidRPr="00082AA7">
        <w:t> </w:t>
      </w:r>
      <w:r w:rsidR="00421410" w:rsidRPr="00082AA7">
        <w:t>ťažkostiach</w:t>
      </w:r>
      <w:r w:rsidRPr="00082AA7">
        <w:t>.</w:t>
      </w:r>
    </w:p>
    <w:p w14:paraId="02D12FDF" w14:textId="77777777" w:rsidR="00421410" w:rsidRPr="008E79AC" w:rsidRDefault="00421410" w:rsidP="008E79AC">
      <w:pPr>
        <w:spacing w:after="120"/>
        <w:ind w:left="1353"/>
        <w:rPr>
          <w:u w:val="single"/>
        </w:rPr>
      </w:pPr>
    </w:p>
    <w:p w14:paraId="37827D94" w14:textId="5EB39FFB" w:rsidR="00E11312" w:rsidRPr="00082AA7" w:rsidRDefault="002D25C0" w:rsidP="008E79AC">
      <w:pPr>
        <w:numPr>
          <w:ilvl w:val="0"/>
          <w:numId w:val="22"/>
        </w:numPr>
        <w:rPr>
          <w:b/>
        </w:rPr>
      </w:pPr>
      <w:bookmarkStart w:id="77" w:name="_Toc427585574"/>
      <w:bookmarkStart w:id="78" w:name="_Toc427585575"/>
      <w:bookmarkEnd w:id="77"/>
      <w:bookmarkEnd w:id="78"/>
      <w:r w:rsidRPr="00082AA7">
        <w:rPr>
          <w:b/>
        </w:rPr>
        <w:t>Ž</w:t>
      </w:r>
      <w:r w:rsidR="00E11312" w:rsidRPr="00082AA7">
        <w:rPr>
          <w:b/>
        </w:rPr>
        <w:t>iadate</w:t>
      </w:r>
      <w:r w:rsidRPr="00082AA7">
        <w:rPr>
          <w:b/>
        </w:rPr>
        <w:t>lia</w:t>
      </w:r>
      <w:r w:rsidR="00E11312" w:rsidRPr="00082AA7">
        <w:rPr>
          <w:b/>
        </w:rPr>
        <w:t xml:space="preserve"> účtujúcich v</w:t>
      </w:r>
      <w:r w:rsidR="00DF284B" w:rsidRPr="00082AA7">
        <w:rPr>
          <w:b/>
        </w:rPr>
        <w:t> sústave</w:t>
      </w:r>
      <w:r w:rsidR="00E11312" w:rsidRPr="00082AA7">
        <w:rPr>
          <w:b/>
        </w:rPr>
        <w:t xml:space="preserve"> jednoduchého účtovníctva </w:t>
      </w:r>
    </w:p>
    <w:p w14:paraId="24187A33" w14:textId="77777777" w:rsidR="00654C84" w:rsidRPr="00082AA7" w:rsidRDefault="00654C84" w:rsidP="008E79AC">
      <w:pPr>
        <w:ind w:left="1068"/>
        <w:rPr>
          <w:b/>
        </w:rPr>
      </w:pPr>
    </w:p>
    <w:p w14:paraId="5A14AB6D" w14:textId="5292D6E2" w:rsidR="00901CE3" w:rsidRPr="00082AA7" w:rsidRDefault="00901CE3" w:rsidP="00901CE3">
      <w:pPr>
        <w:numPr>
          <w:ilvl w:val="0"/>
          <w:numId w:val="20"/>
        </w:numPr>
        <w:spacing w:after="120"/>
      </w:pPr>
      <w:r w:rsidRPr="00082AA7">
        <w:t>ak je hodnota uvedená v riadku 12 (Príjmy a Výdavky) kladná (predstavuje zisk)</w:t>
      </w:r>
      <w:r w:rsidR="00830BC3" w:rsidRPr="00082AA7">
        <w:t>, resp. nula</w:t>
      </w:r>
      <w:r w:rsidRPr="00082AA7">
        <w:t xml:space="preserve"> za bežné obdobie, </w:t>
      </w:r>
      <w:r w:rsidR="009C5F98" w:rsidRPr="00082AA7">
        <w:t xml:space="preserve">podnik </w:t>
      </w:r>
      <w:r w:rsidR="00830BC3" w:rsidRPr="00082AA7">
        <w:t>nie je vyhodnotený</w:t>
      </w:r>
      <w:r w:rsidR="00A67F96" w:rsidRPr="00082AA7">
        <w:t xml:space="preserve"> </w:t>
      </w:r>
      <w:r w:rsidR="00830BC3" w:rsidRPr="00082AA7">
        <w:t xml:space="preserve">ako podnik </w:t>
      </w:r>
      <w:r w:rsidR="009C5F98" w:rsidRPr="00082AA7">
        <w:t>v ťažkostiach,</w:t>
      </w:r>
    </w:p>
    <w:p w14:paraId="66015793" w14:textId="77777777" w:rsidR="00901CE3" w:rsidRPr="008E79AC" w:rsidRDefault="00901CE3" w:rsidP="00901CE3">
      <w:pPr>
        <w:numPr>
          <w:ilvl w:val="0"/>
          <w:numId w:val="20"/>
        </w:numPr>
        <w:spacing w:after="120"/>
      </w:pPr>
      <w:r w:rsidRPr="00082AA7">
        <w:t>ak je hodnota uvedená v riadku 12 (Príjmy a Výdavky) záporná za bežné obdobie a zároveň je hodnota uvedená v riadku 21 (Majetok a Záväzky) záporná za bežné obdobie, ide o podnik v</w:t>
      </w:r>
      <w:r w:rsidR="009C5F98" w:rsidRPr="00082AA7">
        <w:t> </w:t>
      </w:r>
      <w:r w:rsidRPr="00082AA7">
        <w:t>ťažkostiach</w:t>
      </w:r>
      <w:r w:rsidR="009C5F98" w:rsidRPr="00082AA7">
        <w:t>,</w:t>
      </w:r>
    </w:p>
    <w:p w14:paraId="5C89A095" w14:textId="17A87707" w:rsidR="00901CE3" w:rsidRPr="008E79AC" w:rsidRDefault="00EF3128" w:rsidP="008E79AC">
      <w:pPr>
        <w:numPr>
          <w:ilvl w:val="0"/>
          <w:numId w:val="20"/>
        </w:numPr>
        <w:spacing w:after="120"/>
      </w:pPr>
      <w:r w:rsidRPr="00082AA7">
        <w:t> </w:t>
      </w:r>
      <w:r w:rsidR="00901CE3" w:rsidRPr="00082AA7">
        <w:t>ak</w:t>
      </w:r>
      <w:r w:rsidRPr="00082AA7">
        <w:t xml:space="preserve"> je </w:t>
      </w:r>
      <w:r w:rsidR="00901CE3" w:rsidRPr="00082AA7">
        <w:t xml:space="preserve">hodnota uvedená v riadku 12 (Príjmy a </w:t>
      </w:r>
      <w:r w:rsidR="0052447B" w:rsidRPr="00082AA7">
        <w:t>V</w:t>
      </w:r>
      <w:r w:rsidR="00901CE3" w:rsidRPr="00082AA7">
        <w:t xml:space="preserve">ýdavky) </w:t>
      </w:r>
      <w:r w:rsidRPr="00082AA7">
        <w:t>záporná (</w:t>
      </w:r>
      <w:r w:rsidR="00901CE3" w:rsidRPr="00082AA7">
        <w:t>predstavuje stratu</w:t>
      </w:r>
      <w:r w:rsidRPr="00082AA7">
        <w:t>)</w:t>
      </w:r>
      <w:r w:rsidR="00347B70" w:rsidRPr="00082AA7">
        <w:t xml:space="preserve"> a zároveň je hodnota riadku 21 (Majetok a záväzky) kladná za bežné obdobie, pričom</w:t>
      </w:r>
      <w:r w:rsidR="00901CE3" w:rsidRPr="00082AA7">
        <w:t xml:space="preserve"> absolútna hodnota </w:t>
      </w:r>
      <w:r w:rsidR="00347B70" w:rsidRPr="00082AA7">
        <w:t xml:space="preserve">uvedená v riadku 12 (Príjmy a </w:t>
      </w:r>
      <w:r w:rsidR="0052447B" w:rsidRPr="00082AA7">
        <w:t>V</w:t>
      </w:r>
      <w:r w:rsidR="00347B70" w:rsidRPr="00082AA7">
        <w:t xml:space="preserve">ýdavky) </w:t>
      </w:r>
      <w:r w:rsidR="00901CE3" w:rsidRPr="00082AA7">
        <w:t xml:space="preserve">je väčšia ako ½ hodnoty uvedenej v riadku 21 (Majetok a </w:t>
      </w:r>
      <w:r w:rsidR="0052447B" w:rsidRPr="00082AA7">
        <w:t>Z</w:t>
      </w:r>
      <w:r w:rsidR="00901CE3" w:rsidRPr="00082AA7">
        <w:t>áväzky), ide o podnik v</w:t>
      </w:r>
      <w:r w:rsidR="00347B70" w:rsidRPr="00082AA7">
        <w:t> </w:t>
      </w:r>
      <w:r w:rsidR="00901CE3" w:rsidRPr="00082AA7">
        <w:t>ťažkostiach.</w:t>
      </w:r>
    </w:p>
    <w:p w14:paraId="26E24979" w14:textId="45351E19" w:rsidR="000A7FF0" w:rsidRPr="00082AA7" w:rsidRDefault="000A7FF0" w:rsidP="008E79AC">
      <w:pPr>
        <w:spacing w:after="120"/>
        <w:rPr>
          <w:u w:val="single"/>
        </w:rPr>
      </w:pPr>
    </w:p>
    <w:p w14:paraId="1C9B0B28" w14:textId="67168A34" w:rsidR="00654C84" w:rsidRPr="00082AA7" w:rsidRDefault="002D25C0" w:rsidP="008E79AC">
      <w:pPr>
        <w:numPr>
          <w:ilvl w:val="0"/>
          <w:numId w:val="22"/>
        </w:numPr>
        <w:rPr>
          <w:b/>
        </w:rPr>
      </w:pPr>
      <w:r w:rsidRPr="00082AA7">
        <w:rPr>
          <w:b/>
        </w:rPr>
        <w:t>Ž</w:t>
      </w:r>
      <w:r w:rsidR="001D0472" w:rsidRPr="008E79AC">
        <w:rPr>
          <w:b/>
        </w:rPr>
        <w:t>iadate</w:t>
      </w:r>
      <w:r w:rsidRPr="00082AA7">
        <w:rPr>
          <w:b/>
        </w:rPr>
        <w:t>lia</w:t>
      </w:r>
      <w:r w:rsidR="00461AA9" w:rsidRPr="008E79AC">
        <w:rPr>
          <w:b/>
        </w:rPr>
        <w:t>, ktorí neuplatňujú preukázateľné daňové výdavky</w:t>
      </w:r>
      <w:r w:rsidR="00904DCF" w:rsidRPr="008E79AC">
        <w:rPr>
          <w:b/>
        </w:rPr>
        <w:t>,</w:t>
      </w:r>
      <w:r w:rsidR="00461AA9" w:rsidRPr="008E79AC">
        <w:rPr>
          <w:b/>
        </w:rPr>
        <w:t xml:space="preserve"> ale</w:t>
      </w:r>
      <w:r w:rsidRPr="008E79AC">
        <w:rPr>
          <w:b/>
        </w:rPr>
        <w:t xml:space="preserve"> u</w:t>
      </w:r>
      <w:r w:rsidR="00461AA9" w:rsidRPr="008E79AC">
        <w:rPr>
          <w:b/>
        </w:rPr>
        <w:t>platňujú výdavky paušálnym percentom z dosiahnutých príjmov</w:t>
      </w:r>
    </w:p>
    <w:p w14:paraId="0307B548" w14:textId="66C0D5DE" w:rsidR="00461AA9" w:rsidRPr="00082AA7" w:rsidRDefault="00461AA9" w:rsidP="008E79AC">
      <w:pPr>
        <w:ind w:left="1068"/>
        <w:rPr>
          <w:b/>
        </w:rPr>
      </w:pPr>
    </w:p>
    <w:p w14:paraId="59C24407" w14:textId="0FAAA228" w:rsidR="008461D0" w:rsidRPr="00082AA7" w:rsidRDefault="008461D0" w:rsidP="008E79AC">
      <w:pPr>
        <w:spacing w:after="120"/>
        <w:ind w:firstLine="708"/>
      </w:pPr>
      <w:r w:rsidRPr="00082AA7">
        <w:t>Z</w:t>
      </w:r>
      <w:r w:rsidR="00461AA9" w:rsidRPr="00082AA7">
        <w:t xml:space="preserve"> riadku základ dane </w:t>
      </w:r>
      <w:r w:rsidRPr="00082AA7">
        <w:t xml:space="preserve">(riadok č. 39) </w:t>
      </w:r>
      <w:r w:rsidR="00461AA9" w:rsidRPr="00082AA7">
        <w:t>daňového priznania k dani z príjmov fyzickej osoby typ</w:t>
      </w:r>
      <w:r w:rsidR="00904DCF" w:rsidRPr="00082AA7">
        <w:t xml:space="preserve"> </w:t>
      </w:r>
      <w:r w:rsidR="00461AA9" w:rsidRPr="00082AA7">
        <w:t>B podľa zákona č. 595/2003 Z.</w:t>
      </w:r>
      <w:r w:rsidR="00904DCF" w:rsidRPr="00082AA7">
        <w:t xml:space="preserve"> </w:t>
      </w:r>
      <w:r w:rsidR="00461AA9" w:rsidRPr="00082AA7">
        <w:t>z. o dani z príjmov v znení neskorších predpisov</w:t>
      </w:r>
      <w:r w:rsidR="00B24182" w:rsidRPr="00082AA7">
        <w:t xml:space="preserve"> </w:t>
      </w:r>
      <w:r w:rsidR="0082256A" w:rsidRPr="00082AA7">
        <w:t xml:space="preserve">z roka prechádzajúcemu roku </w:t>
      </w:r>
      <w:r w:rsidR="00B24182" w:rsidRPr="00082AA7">
        <w:t xml:space="preserve">zisťovania, či je podnik v ťažkostiach, </w:t>
      </w:r>
      <w:r w:rsidRPr="00082AA7">
        <w:t>je potrebné</w:t>
      </w:r>
      <w:r w:rsidR="00461AA9" w:rsidRPr="00082AA7">
        <w:t xml:space="preserve"> over</w:t>
      </w:r>
      <w:r w:rsidRPr="00082AA7">
        <w:t>iť</w:t>
      </w:r>
      <w:r w:rsidR="00461AA9" w:rsidRPr="00082AA7">
        <w:t xml:space="preserve">, či </w:t>
      </w:r>
      <w:r w:rsidR="00B24182" w:rsidRPr="00082AA7">
        <w:t xml:space="preserve">žiadateľ </w:t>
      </w:r>
      <w:r w:rsidR="00461AA9" w:rsidRPr="00082AA7">
        <w:t>dosiahol zisk alebo stratu</w:t>
      </w:r>
      <w:r w:rsidRPr="00082AA7">
        <w:t>.</w:t>
      </w:r>
    </w:p>
    <w:p w14:paraId="0CB89538" w14:textId="22062C44" w:rsidR="0082256A" w:rsidRPr="008E79AC" w:rsidRDefault="00336776" w:rsidP="00461AA9">
      <w:pPr>
        <w:numPr>
          <w:ilvl w:val="0"/>
          <w:numId w:val="7"/>
        </w:numPr>
        <w:tabs>
          <w:tab w:val="clear" w:pos="1068"/>
          <w:tab w:val="num" w:pos="1440"/>
        </w:tabs>
        <w:spacing w:after="120"/>
        <w:ind w:left="1440"/>
      </w:pPr>
      <w:r w:rsidRPr="00082AA7">
        <w:t>V prípade,</w:t>
      </w:r>
      <w:r w:rsidR="00461AA9" w:rsidRPr="00082AA7">
        <w:t xml:space="preserve"> </w:t>
      </w:r>
      <w:r w:rsidR="008461D0" w:rsidRPr="00082AA7">
        <w:t xml:space="preserve">že </w:t>
      </w:r>
      <w:r w:rsidR="00662D08" w:rsidRPr="00082AA7">
        <w:t>žiadate</w:t>
      </w:r>
      <w:r w:rsidR="008461D0" w:rsidRPr="00082AA7">
        <w:t>ľ</w:t>
      </w:r>
      <w:r w:rsidR="00662D08" w:rsidRPr="00082AA7">
        <w:t xml:space="preserve"> podal v predchádzajúcom roku daňové priznanie a</w:t>
      </w:r>
      <w:r w:rsidR="00461AA9" w:rsidRPr="00082AA7">
        <w:t xml:space="preserve"> dosiahol zisk (kladné číslo)</w:t>
      </w:r>
      <w:r w:rsidRPr="00082AA7">
        <w:t>,</w:t>
      </w:r>
      <w:r w:rsidR="00461AA9" w:rsidRPr="00082AA7">
        <w:t xml:space="preserve"> podnik </w:t>
      </w:r>
      <w:r w:rsidRPr="00082AA7">
        <w:t xml:space="preserve">nie je klasifikovaný ako podnik </w:t>
      </w:r>
      <w:r w:rsidR="00461AA9" w:rsidRPr="00082AA7">
        <w:t>v ťažkostiach</w:t>
      </w:r>
      <w:r w:rsidR="00662D08" w:rsidRPr="00082AA7">
        <w:rPr>
          <w:rStyle w:val="Odkaznapoznmkupodiarou"/>
        </w:rPr>
        <w:footnoteReference w:id="8"/>
      </w:r>
      <w:r w:rsidR="008461D0" w:rsidRPr="00082AA7">
        <w:t>.</w:t>
      </w:r>
    </w:p>
    <w:p w14:paraId="3C6C659F" w14:textId="0C7EB9DA" w:rsidR="00662D08" w:rsidRPr="00082AA7" w:rsidRDefault="00366153" w:rsidP="00FB5562">
      <w:pPr>
        <w:numPr>
          <w:ilvl w:val="0"/>
          <w:numId w:val="7"/>
        </w:numPr>
        <w:tabs>
          <w:tab w:val="clear" w:pos="1068"/>
          <w:tab w:val="num" w:pos="1440"/>
        </w:tabs>
        <w:spacing w:after="120"/>
        <w:ind w:left="1440"/>
      </w:pPr>
      <w:r w:rsidRPr="00082AA7">
        <w:t>V prípade, že žiadateľ</w:t>
      </w:r>
      <w:r w:rsidR="00461AA9" w:rsidRPr="00082AA7">
        <w:t xml:space="preserve"> </w:t>
      </w:r>
      <w:r w:rsidRPr="00082AA7">
        <w:t xml:space="preserve">daňové priznanie nepodal, resp. </w:t>
      </w:r>
      <w:r w:rsidR="00461AA9" w:rsidRPr="00082AA7">
        <w:t>dosiahol stratu</w:t>
      </w:r>
      <w:r w:rsidR="0082256A" w:rsidRPr="00082AA7">
        <w:t>, v</w:t>
      </w:r>
      <w:r w:rsidR="00461AA9" w:rsidRPr="00082AA7">
        <w:t xml:space="preserve">zhľadom </w:t>
      </w:r>
      <w:r w:rsidR="00904DCF" w:rsidRPr="00082AA7">
        <w:t>na</w:t>
      </w:r>
      <w:r w:rsidR="00461AA9" w:rsidRPr="00082AA7">
        <w:t> to, že takýto subjekt nie je povinný viesť účtovníctvo ani daňovú evidenciu, skúmanie splnenia podmienok definície je v praxi neaplikovateľné, preto z hľadiska opatrnosti je potrebné tento podnik vyhodnotiť ako podnik v ťažkostiach až do momentu, kým sa na základne konkrétnych dokladov nepreukáže opak.</w:t>
      </w:r>
    </w:p>
    <w:p w14:paraId="2191E87F" w14:textId="6B300B3D" w:rsidR="00982455" w:rsidRPr="00082AA7" w:rsidRDefault="00982455" w:rsidP="00982455">
      <w:pPr>
        <w:spacing w:after="120"/>
        <w:ind w:left="1080"/>
      </w:pPr>
      <w:r w:rsidRPr="00082AA7">
        <w:t xml:space="preserve">(Pozn.: posudzuje sa len v prípade, </w:t>
      </w:r>
      <w:r w:rsidR="00654C84" w:rsidRPr="00082AA7">
        <w:t xml:space="preserve">ak </w:t>
      </w:r>
      <w:r w:rsidRPr="00082AA7">
        <w:t>si žiadate</w:t>
      </w:r>
      <w:r w:rsidR="00654C84" w:rsidRPr="00082AA7">
        <w:t>ľ</w:t>
      </w:r>
      <w:r w:rsidRPr="00082AA7">
        <w:t xml:space="preserve"> môž</w:t>
      </w:r>
      <w:r w:rsidR="00654C84" w:rsidRPr="00082AA7">
        <w:t>e</w:t>
      </w:r>
      <w:r w:rsidRPr="00082AA7">
        <w:t xml:space="preserve"> uplatniť paušálne výdavky percentom k dosiahnutým príjmom</w:t>
      </w:r>
      <w:r w:rsidR="00BA4143" w:rsidRPr="00082AA7">
        <w:t xml:space="preserve"> v</w:t>
      </w:r>
      <w:r w:rsidR="00654C84" w:rsidRPr="00082AA7">
        <w:t> </w:t>
      </w:r>
      <w:r w:rsidR="00BA4143" w:rsidRPr="00082AA7">
        <w:t>zmysle</w:t>
      </w:r>
      <w:r w:rsidR="00654C84" w:rsidRPr="00082AA7">
        <w:t xml:space="preserve"> príslušnej</w:t>
      </w:r>
      <w:r w:rsidR="00BA4143" w:rsidRPr="00082AA7">
        <w:t xml:space="preserve"> </w:t>
      </w:r>
      <w:r w:rsidR="00654C84" w:rsidRPr="00082AA7">
        <w:t>v</w:t>
      </w:r>
      <w:r w:rsidR="00BA4143" w:rsidRPr="00082AA7">
        <w:t xml:space="preserve">ýzvy, </w:t>
      </w:r>
      <w:r w:rsidR="00654C84" w:rsidRPr="00082AA7">
        <w:t>p</w:t>
      </w:r>
      <w:r w:rsidR="00BA4143" w:rsidRPr="00082AA7">
        <w:t xml:space="preserve">ríručky pre žiadateľa, </w:t>
      </w:r>
      <w:r w:rsidR="00654C84" w:rsidRPr="00082AA7">
        <w:t>z</w:t>
      </w:r>
      <w:r w:rsidR="00BA4143" w:rsidRPr="00082AA7">
        <w:t>mluvy o poskytnutí nenávratného finančného príspevku a pod.</w:t>
      </w:r>
      <w:r w:rsidR="00654C84" w:rsidRPr="00082AA7">
        <w:t xml:space="preserve"> </w:t>
      </w:r>
      <w:r w:rsidR="00BA4143" w:rsidRPr="00082AA7">
        <w:t>Ak si žiadatelia budú musieť uplatňovať preukázateľné výdavky v zmysle spomínaných dokumentov a uplatnia si paušálne výdavky, budú posudzovan</w:t>
      </w:r>
      <w:r w:rsidR="00400137">
        <w:t>í</w:t>
      </w:r>
      <w:r w:rsidR="00BA4143" w:rsidRPr="00082AA7">
        <w:t xml:space="preserve"> ako podnik</w:t>
      </w:r>
      <w:r w:rsidR="00400137">
        <w:t>y</w:t>
      </w:r>
      <w:r w:rsidR="00BA4143" w:rsidRPr="00082AA7">
        <w:t xml:space="preserve"> v ťažkostiach.)</w:t>
      </w:r>
    </w:p>
    <w:p w14:paraId="759125D7" w14:textId="77777777" w:rsidR="00C7440A" w:rsidRPr="00082AA7" w:rsidRDefault="00C7440A" w:rsidP="008E79AC">
      <w:pPr>
        <w:spacing w:after="120"/>
      </w:pPr>
    </w:p>
    <w:p w14:paraId="52042A26" w14:textId="77777777" w:rsidR="00180FB4" w:rsidRDefault="00180FB4">
      <w:pPr>
        <w:jc w:val="left"/>
        <w:rPr>
          <w:rFonts w:eastAsiaTheme="majorEastAsia" w:cstheme="majorBidi"/>
          <w:b/>
          <w:color w:val="000066"/>
          <w:szCs w:val="22"/>
        </w:rPr>
      </w:pPr>
      <w:bookmarkStart w:id="79" w:name="_Toc427586735"/>
      <w:bookmarkStart w:id="80" w:name="_Toc427826106"/>
      <w:bookmarkStart w:id="81" w:name="_Toc427842173"/>
      <w:r>
        <w:br w:type="page"/>
      </w:r>
    </w:p>
    <w:p w14:paraId="5C659B25" w14:textId="6538E05D" w:rsidR="00C7440A" w:rsidRPr="008E79AC" w:rsidRDefault="00C7440A" w:rsidP="00180FB4">
      <w:pPr>
        <w:pStyle w:val="Nadpis3"/>
      </w:pPr>
      <w:bookmarkStart w:id="82" w:name="_Toc427854878"/>
      <w:r w:rsidRPr="008E79AC">
        <w:lastRenderedPageBreak/>
        <w:t xml:space="preserve">Písm. c) </w:t>
      </w:r>
      <w:r w:rsidR="002102DC" w:rsidRPr="008E79AC">
        <w:t>–</w:t>
      </w:r>
      <w:r w:rsidRPr="008E79AC">
        <w:t xml:space="preserve"> </w:t>
      </w:r>
      <w:bookmarkEnd w:id="79"/>
      <w:r w:rsidR="002102DC" w:rsidRPr="008E79AC">
        <w:t>všetci žiadatelia</w:t>
      </w:r>
      <w:bookmarkEnd w:id="80"/>
      <w:bookmarkEnd w:id="81"/>
      <w:bookmarkEnd w:id="82"/>
    </w:p>
    <w:p w14:paraId="40FDC5F7" w14:textId="77777777" w:rsidR="00C7440A" w:rsidRPr="00082AA7" w:rsidRDefault="00C7440A" w:rsidP="008E79AC">
      <w:pPr>
        <w:spacing w:after="120"/>
      </w:pPr>
    </w:p>
    <w:p w14:paraId="62A0614E" w14:textId="77777777" w:rsidR="00C7440A" w:rsidRPr="00082AA7" w:rsidRDefault="00C7440A" w:rsidP="008E79AC">
      <w:pPr>
        <w:spacing w:after="120"/>
        <w:ind w:firstLine="708"/>
      </w:pPr>
      <w:r w:rsidRPr="00082AA7">
        <w:rPr>
          <w:szCs w:val="16"/>
        </w:rPr>
        <w:t xml:space="preserve">Podnik je považovaný za podnik v ťažkostiach, ak spĺňa kritéria </w:t>
      </w:r>
      <w:r w:rsidRPr="00082AA7">
        <w:t>zákona č. 7/2005 Z. z. o konkurze a reštrukturalizácii v znení neskorších predpisov, ktorý je všeobecne právne záväzný pre všetky subjekty slovenského právneho poriadku (aj v nadväznosti na ust. §242 a §243 Trestného zákona).</w:t>
      </w:r>
    </w:p>
    <w:p w14:paraId="3DC1DF9A" w14:textId="77777777" w:rsidR="00C7440A" w:rsidRPr="00082AA7" w:rsidRDefault="00C7440A" w:rsidP="008E79AC">
      <w:pPr>
        <w:spacing w:after="120"/>
      </w:pPr>
    </w:p>
    <w:p w14:paraId="51ABF0DC" w14:textId="6FD61FA9" w:rsidR="007819A2" w:rsidRPr="008E79AC" w:rsidRDefault="007819A2" w:rsidP="00180FB4">
      <w:pPr>
        <w:pStyle w:val="Nadpis3"/>
      </w:pPr>
      <w:bookmarkStart w:id="83" w:name="_Toc427586736"/>
      <w:bookmarkStart w:id="84" w:name="_Toc427826107"/>
      <w:bookmarkStart w:id="85" w:name="_Toc427842174"/>
      <w:bookmarkStart w:id="86" w:name="_Toc427854879"/>
      <w:r w:rsidRPr="008E79AC">
        <w:t xml:space="preserve">Písm. d) - </w:t>
      </w:r>
      <w:r w:rsidR="002102DC" w:rsidRPr="008E79AC">
        <w:t xml:space="preserve">všetci žiadatelia, </w:t>
      </w:r>
      <w:bookmarkEnd w:id="83"/>
      <w:r w:rsidR="0042159F" w:rsidRPr="008E79AC">
        <w:t>ktorí</w:t>
      </w:r>
      <w:r w:rsidR="003351BB" w:rsidRPr="008E79AC">
        <w:t xml:space="preserve"> nie</w:t>
      </w:r>
      <w:r w:rsidR="005738CA" w:rsidRPr="008E79AC">
        <w:t xml:space="preserve"> </w:t>
      </w:r>
      <w:r w:rsidR="002102DC" w:rsidRPr="008E79AC">
        <w:t>sú</w:t>
      </w:r>
      <w:r w:rsidR="00D4537F" w:rsidRPr="008E79AC">
        <w:t xml:space="preserve"> klasifikovaní ako</w:t>
      </w:r>
      <w:r w:rsidR="005738CA" w:rsidRPr="008E79AC">
        <w:t xml:space="preserve"> MSP</w:t>
      </w:r>
      <w:bookmarkEnd w:id="84"/>
      <w:bookmarkEnd w:id="85"/>
      <w:bookmarkEnd w:id="86"/>
    </w:p>
    <w:p w14:paraId="4C440090" w14:textId="77777777" w:rsidR="007819A2" w:rsidRPr="00082AA7" w:rsidRDefault="007819A2" w:rsidP="008E79AC">
      <w:pPr>
        <w:spacing w:after="120"/>
      </w:pPr>
    </w:p>
    <w:p w14:paraId="3861BDFE" w14:textId="684FE1DF" w:rsidR="00FB5562" w:rsidRPr="00082AA7" w:rsidRDefault="00F14808" w:rsidP="008E79AC">
      <w:pPr>
        <w:ind w:firstLine="709"/>
        <w:rPr>
          <w:i/>
        </w:rPr>
      </w:pPr>
      <w:r w:rsidRPr="00082AA7">
        <w:t>Usmernenie bodu 20 písm. b) hovorí, že ide o podnik v</w:t>
      </w:r>
      <w:r w:rsidR="006F42BB" w:rsidRPr="00082AA7">
        <w:t> </w:t>
      </w:r>
      <w:r w:rsidRPr="00082AA7">
        <w:t>ťažkostiach</w:t>
      </w:r>
      <w:r w:rsidR="006F42BB" w:rsidRPr="00082AA7">
        <w:t xml:space="preserve"> </w:t>
      </w:r>
      <w:r w:rsidR="006F42BB" w:rsidRPr="008E79AC">
        <w:rPr>
          <w:i/>
        </w:rPr>
        <w:t xml:space="preserve">„v prípade podniku, </w:t>
      </w:r>
      <w:r w:rsidR="00FB5562" w:rsidRPr="00082AA7">
        <w:rPr>
          <w:i/>
        </w:rPr>
        <w:t>ktorý nie je MSP, keď za posledné dva roky:</w:t>
      </w:r>
    </w:p>
    <w:p w14:paraId="18C29C08" w14:textId="77777777" w:rsidR="00FB5562" w:rsidRPr="00082AA7" w:rsidRDefault="00FB5562" w:rsidP="00FB5562">
      <w:pPr>
        <w:rPr>
          <w:i/>
        </w:rPr>
      </w:pPr>
    </w:p>
    <w:p w14:paraId="7CE8A1D0" w14:textId="77777777" w:rsidR="007B1B1E" w:rsidRPr="00082AA7" w:rsidRDefault="00FB5562" w:rsidP="008969CC">
      <w:pPr>
        <w:numPr>
          <w:ilvl w:val="0"/>
          <w:numId w:val="10"/>
        </w:numPr>
        <w:rPr>
          <w:i/>
        </w:rPr>
      </w:pPr>
      <w:r w:rsidRPr="00082AA7">
        <w:rPr>
          <w:i/>
        </w:rPr>
        <w:t>bol účtovný pomer dlhu podniku</w:t>
      </w:r>
      <w:r w:rsidR="008969CC" w:rsidRPr="00082AA7">
        <w:rPr>
          <w:i/>
        </w:rPr>
        <w:t xml:space="preserve"> k vlastnému imaniu vyšší než 7,5;</w:t>
      </w:r>
    </w:p>
    <w:p w14:paraId="7A490B4B" w14:textId="5B991BED" w:rsidR="00FB5562" w:rsidRPr="00082AA7" w:rsidRDefault="00FB5562" w:rsidP="007B1B1E">
      <w:pPr>
        <w:ind w:left="720"/>
        <w:rPr>
          <w:i/>
        </w:rPr>
      </w:pPr>
      <w:r w:rsidRPr="00082AA7">
        <w:rPr>
          <w:i/>
        </w:rPr>
        <w:t>a</w:t>
      </w:r>
    </w:p>
    <w:p w14:paraId="2FC68CDF" w14:textId="12E24C17" w:rsidR="008969CC" w:rsidRPr="00082AA7" w:rsidRDefault="00FB5562" w:rsidP="007B1B1E">
      <w:pPr>
        <w:numPr>
          <w:ilvl w:val="0"/>
          <w:numId w:val="10"/>
        </w:numPr>
        <w:rPr>
          <w:i/>
        </w:rPr>
      </w:pPr>
      <w:r w:rsidRPr="00082AA7">
        <w:rPr>
          <w:i/>
        </w:rPr>
        <w:t>pomer zisku podniku pred úrokmi, zdanením a</w:t>
      </w:r>
      <w:r w:rsidR="000A5893" w:rsidRPr="00082AA7">
        <w:rPr>
          <w:i/>
        </w:rPr>
        <w:t> </w:t>
      </w:r>
      <w:r w:rsidRPr="00082AA7">
        <w:rPr>
          <w:i/>
        </w:rPr>
        <w:t>odpismi</w:t>
      </w:r>
      <w:r w:rsidR="000A5893" w:rsidRPr="00082AA7">
        <w:rPr>
          <w:i/>
        </w:rPr>
        <w:t xml:space="preserve"> </w:t>
      </w:r>
      <w:r w:rsidR="00F41F8B" w:rsidRPr="00082AA7">
        <w:rPr>
          <w:i/>
        </w:rPr>
        <w:t>(EBITDA)</w:t>
      </w:r>
      <w:r w:rsidRPr="00082AA7">
        <w:rPr>
          <w:i/>
        </w:rPr>
        <w:t xml:space="preserve"> k</w:t>
      </w:r>
      <w:r w:rsidR="00F41F8B" w:rsidRPr="00082AA7">
        <w:rPr>
          <w:i/>
        </w:rPr>
        <w:t xml:space="preserve"> nákladovým úrokom </w:t>
      </w:r>
      <w:r w:rsidR="00F41F8B" w:rsidRPr="008E79AC">
        <w:rPr>
          <w:i/>
        </w:rPr>
        <w:t>(</w:t>
      </w:r>
      <w:r w:rsidR="00F41F8B" w:rsidRPr="00082AA7">
        <w:t>ukazovateľ úrokového krytia na základe EBITDA)</w:t>
      </w:r>
      <w:r w:rsidRPr="00082AA7">
        <w:rPr>
          <w:i/>
        </w:rPr>
        <w:t xml:space="preserve"> bol nižší než 1,0</w:t>
      </w:r>
      <w:r w:rsidR="008969CC" w:rsidRPr="00082AA7">
        <w:rPr>
          <w:i/>
        </w:rPr>
        <w:t>“.</w:t>
      </w:r>
    </w:p>
    <w:p w14:paraId="6F170832" w14:textId="77777777" w:rsidR="008969CC" w:rsidRPr="00082AA7" w:rsidRDefault="008969CC" w:rsidP="008969CC">
      <w:pPr>
        <w:ind w:left="360"/>
        <w:rPr>
          <w:i/>
        </w:rPr>
      </w:pPr>
    </w:p>
    <w:p w14:paraId="61A2676A" w14:textId="7BF87577" w:rsidR="00654C84" w:rsidRPr="008E79AC" w:rsidRDefault="00F27C7E" w:rsidP="008E79AC">
      <w:pPr>
        <w:numPr>
          <w:ilvl w:val="0"/>
          <w:numId w:val="23"/>
        </w:numPr>
      </w:pPr>
      <w:r w:rsidRPr="00082AA7">
        <w:rPr>
          <w:b/>
        </w:rPr>
        <w:t>Žiadatelia</w:t>
      </w:r>
      <w:r w:rsidR="00701B79" w:rsidRPr="008E79AC">
        <w:rPr>
          <w:b/>
        </w:rPr>
        <w:t xml:space="preserve"> </w:t>
      </w:r>
      <w:r w:rsidR="00654C84" w:rsidRPr="008E79AC">
        <w:rPr>
          <w:b/>
        </w:rPr>
        <w:t>účtujúci v systéme podvojného účtovníctva</w:t>
      </w:r>
    </w:p>
    <w:p w14:paraId="2E663416" w14:textId="19A5A397" w:rsidR="007F71B6" w:rsidRPr="00082AA7" w:rsidRDefault="007F71B6" w:rsidP="008E79AC">
      <w:pPr>
        <w:ind w:left="720"/>
      </w:pPr>
    </w:p>
    <w:p w14:paraId="023F782B" w14:textId="7835EFED" w:rsidR="008969CC" w:rsidRPr="00082AA7" w:rsidRDefault="00A42015" w:rsidP="008969CC">
      <w:pPr>
        <w:numPr>
          <w:ilvl w:val="0"/>
          <w:numId w:val="12"/>
        </w:numPr>
      </w:pPr>
      <w:r w:rsidRPr="00082AA7">
        <w:t xml:space="preserve">Údaje zo súvahy: </w:t>
      </w:r>
      <w:r w:rsidR="008969CC" w:rsidRPr="00082AA7">
        <w:t xml:space="preserve">Pomer hodnoty uvedenej v riadku 101 (Záväzky) k hodnote uvedenej v riadku 80 (Vlastné imanie) </w:t>
      </w:r>
      <w:r w:rsidR="00CE012A" w:rsidRPr="00082AA7">
        <w:t xml:space="preserve">je </w:t>
      </w:r>
      <w:r w:rsidR="008969CC" w:rsidRPr="00082AA7">
        <w:t xml:space="preserve">väčší </w:t>
      </w:r>
      <w:r w:rsidR="000B4D12">
        <w:t xml:space="preserve">ako </w:t>
      </w:r>
      <w:r w:rsidR="008969CC" w:rsidRPr="00082AA7">
        <w:t>7,5 za bežné ako aj predchádzajúce obdobie súvahy;</w:t>
      </w:r>
    </w:p>
    <w:p w14:paraId="71FE4216" w14:textId="77777777" w:rsidR="008969CC" w:rsidRPr="00082AA7" w:rsidRDefault="008969CC" w:rsidP="008E79AC">
      <w:pPr>
        <w:ind w:left="1068"/>
        <w:rPr>
          <w:i/>
        </w:rPr>
      </w:pPr>
      <w:r w:rsidRPr="00082AA7">
        <w:rPr>
          <w:i/>
        </w:rPr>
        <w:t>a zároveň</w:t>
      </w:r>
    </w:p>
    <w:p w14:paraId="503C4291" w14:textId="3F97245E" w:rsidR="00CE012A" w:rsidRPr="00082AA7" w:rsidRDefault="00A42015" w:rsidP="00A42015">
      <w:pPr>
        <w:numPr>
          <w:ilvl w:val="0"/>
          <w:numId w:val="12"/>
        </w:numPr>
      </w:pPr>
      <w:r w:rsidRPr="00082AA7">
        <w:t xml:space="preserve">Údaje z výkazu ziskov a strát: </w:t>
      </w:r>
      <w:r w:rsidR="008969CC" w:rsidRPr="00082AA7">
        <w:t>P</w:t>
      </w:r>
      <w:r w:rsidR="007B1B1E" w:rsidRPr="00082AA7">
        <w:t xml:space="preserve">omer </w:t>
      </w:r>
      <w:r w:rsidRPr="00082AA7">
        <w:t xml:space="preserve">„zisku podniku pred úrokmi, zdanením a odpismi“ (EBITDA) </w:t>
      </w:r>
      <w:r w:rsidR="007B1B1E" w:rsidRPr="00082AA7">
        <w:t>k</w:t>
      </w:r>
      <w:r w:rsidR="00E8768A" w:rsidRPr="00082AA7">
        <w:t> nákladovým úrokom</w:t>
      </w:r>
      <w:r w:rsidRPr="00082AA7">
        <w:t xml:space="preserve"> (</w:t>
      </w:r>
      <w:r w:rsidR="00F545E1" w:rsidRPr="00082AA7">
        <w:t xml:space="preserve">t.j. </w:t>
      </w:r>
      <w:r w:rsidRPr="00082AA7">
        <w:t>EBIT</w:t>
      </w:r>
      <w:r w:rsidR="00E8768A" w:rsidRPr="00082AA7">
        <w:t>DA</w:t>
      </w:r>
      <w:r w:rsidRPr="00082AA7">
        <w:t xml:space="preserve"> / </w:t>
      </w:r>
      <w:r w:rsidR="00CE012A" w:rsidRPr="00082AA7">
        <w:t xml:space="preserve">Nákladové </w:t>
      </w:r>
      <w:r w:rsidRPr="00082AA7">
        <w:t xml:space="preserve">úroky) </w:t>
      </w:r>
      <w:r w:rsidR="00CE012A" w:rsidRPr="00082AA7">
        <w:t>je menší</w:t>
      </w:r>
      <w:r w:rsidR="006C2CC5" w:rsidRPr="00082AA7">
        <w:t xml:space="preserve"> ako 1,0</w:t>
      </w:r>
      <w:r w:rsidR="007B1B1E" w:rsidRPr="00082AA7">
        <w:t xml:space="preserve"> za bežné ako aj predchádzajúce obdobie </w:t>
      </w:r>
      <w:r w:rsidR="00CE012A" w:rsidRPr="00082AA7">
        <w:t>výkazu ziskov a strát.</w:t>
      </w:r>
    </w:p>
    <w:p w14:paraId="32D28FF1" w14:textId="245B11DB" w:rsidR="007B1B1E" w:rsidRPr="00082AA7" w:rsidRDefault="00CE012A" w:rsidP="008E79AC">
      <w:pPr>
        <w:ind w:left="1416"/>
      </w:pPr>
      <w:r w:rsidRPr="00082AA7">
        <w:t>EBITDA</w:t>
      </w:r>
      <w:r w:rsidR="00654C84" w:rsidRPr="00082AA7">
        <w:t xml:space="preserve"> -</w:t>
      </w:r>
      <w:r w:rsidR="00A42015" w:rsidRPr="00082AA7">
        <w:t xml:space="preserve"> hodnota uvedená v riadku 56 (Výsledok hospodárenia za účtovné obdobie pred zdanením) navýšená o hodnoty uvedené v riadkoch 49 (Nákladové úroky) a 21 (Odpisy a opravné položky k dlhodobému nehmotnému majetku a dlhodobému hmotnému majetku), a ponížená o hodnotu uvedenú v riadku 39 (Výnosové úroky)</w:t>
      </w:r>
      <w:r w:rsidRPr="00082AA7">
        <w:t>.</w:t>
      </w:r>
    </w:p>
    <w:p w14:paraId="52E8CD2B" w14:textId="3ED57EBB" w:rsidR="00CE012A" w:rsidRPr="00082AA7" w:rsidRDefault="00E8768A" w:rsidP="008E79AC">
      <w:pPr>
        <w:ind w:left="1416"/>
      </w:pPr>
      <w:r w:rsidRPr="00082AA7">
        <w:t>Nákladové úroky</w:t>
      </w:r>
      <w:r w:rsidR="00654C84" w:rsidRPr="00082AA7">
        <w:t xml:space="preserve"> - </w:t>
      </w:r>
      <w:r w:rsidR="00CE012A" w:rsidRPr="00082AA7">
        <w:t>hodno</w:t>
      </w:r>
      <w:r w:rsidRPr="00082AA7">
        <w:t>ta</w:t>
      </w:r>
      <w:r w:rsidR="00CE012A" w:rsidRPr="00082AA7">
        <w:t xml:space="preserve"> uveden</w:t>
      </w:r>
      <w:r w:rsidRPr="00082AA7">
        <w:t>á</w:t>
      </w:r>
      <w:r w:rsidR="00CE012A" w:rsidRPr="00082AA7">
        <w:t xml:space="preserve"> v riadku 49 (Nákladové úroky)</w:t>
      </w:r>
      <w:r w:rsidRPr="00082AA7">
        <w:t>.</w:t>
      </w:r>
    </w:p>
    <w:p w14:paraId="4813C270" w14:textId="77777777" w:rsidR="00654C84" w:rsidRPr="00082AA7" w:rsidRDefault="00654C84" w:rsidP="008E79AC">
      <w:pPr>
        <w:spacing w:after="120"/>
        <w:rPr>
          <w:b/>
        </w:rPr>
      </w:pPr>
    </w:p>
    <w:p w14:paraId="39171808" w14:textId="77777777" w:rsidR="00654C84" w:rsidRPr="00082AA7" w:rsidRDefault="00654C84" w:rsidP="008E79AC">
      <w:pPr>
        <w:numPr>
          <w:ilvl w:val="0"/>
          <w:numId w:val="23"/>
        </w:numPr>
        <w:spacing w:after="120"/>
        <w:rPr>
          <w:b/>
        </w:rPr>
      </w:pPr>
      <w:r w:rsidRPr="00082AA7">
        <w:rPr>
          <w:b/>
        </w:rPr>
        <w:t>FO – podnikateľ účtujúci v systéme jednoduchého účtovníctva</w:t>
      </w:r>
    </w:p>
    <w:p w14:paraId="4601C079" w14:textId="4466D29E" w:rsidR="00654C84" w:rsidRPr="008E79AC" w:rsidRDefault="00654C84" w:rsidP="008E79AC">
      <w:pPr>
        <w:ind w:left="1134"/>
      </w:pPr>
      <w:r w:rsidRPr="008E79AC">
        <w:t>V</w:t>
      </w:r>
      <w:r w:rsidR="00F85CC9" w:rsidRPr="00082AA7">
        <w:t xml:space="preserve"> tomto </w:t>
      </w:r>
      <w:r w:rsidRPr="008E79AC">
        <w:t xml:space="preserve">prípade </w:t>
      </w:r>
      <w:r w:rsidR="000A5893" w:rsidRPr="00082AA7">
        <w:t xml:space="preserve">PPA, resp. </w:t>
      </w:r>
      <w:r w:rsidRPr="008E79AC">
        <w:t>riadiaci orgán</w:t>
      </w:r>
      <w:r w:rsidR="00F85CC9" w:rsidRPr="00082AA7">
        <w:t xml:space="preserve">, </w:t>
      </w:r>
      <w:r w:rsidRPr="008E79AC">
        <w:t xml:space="preserve">preskúma splnenie </w:t>
      </w:r>
      <w:r w:rsidR="00F85CC9" w:rsidRPr="00082AA7">
        <w:t>náležitostí bodu 20 písm. d)</w:t>
      </w:r>
      <w:r w:rsidRPr="008E79AC">
        <w:t xml:space="preserve"> individuálne.</w:t>
      </w:r>
    </w:p>
    <w:p w14:paraId="4C41CC6E" w14:textId="77777777" w:rsidR="00285F2A" w:rsidRPr="00082AA7" w:rsidRDefault="00285F2A" w:rsidP="00C548E9">
      <w:pPr>
        <w:rPr>
          <w:b/>
        </w:rPr>
      </w:pPr>
    </w:p>
    <w:p w14:paraId="134C7613" w14:textId="77777777" w:rsidR="00654C84" w:rsidRPr="00082AA7" w:rsidRDefault="00654C84" w:rsidP="00C548E9">
      <w:pPr>
        <w:rPr>
          <w:b/>
        </w:rPr>
      </w:pPr>
    </w:p>
    <w:p w14:paraId="775A6FC5" w14:textId="77777777" w:rsidR="00285F2A" w:rsidRPr="00082AA7" w:rsidRDefault="00285F2A" w:rsidP="00C548E9">
      <w:pPr>
        <w:rPr>
          <w:b/>
        </w:rPr>
      </w:pPr>
    </w:p>
    <w:p w14:paraId="637ED399" w14:textId="113858E4" w:rsidR="005B1B57" w:rsidRPr="00082AA7" w:rsidRDefault="008F236F" w:rsidP="00C548E9">
      <w:pPr>
        <w:rPr>
          <w:b/>
        </w:rPr>
      </w:pPr>
      <w:r w:rsidRPr="00BD4D98">
        <w:rPr>
          <w:b/>
        </w:rPr>
        <w:t xml:space="preserve">Bratislava </w:t>
      </w:r>
      <w:r w:rsidR="00BD4D98" w:rsidRPr="00BD4D98">
        <w:rPr>
          <w:b/>
        </w:rPr>
        <w:t xml:space="preserve"> </w:t>
      </w:r>
      <w:r w:rsidR="0027039F" w:rsidRPr="00BD4D98">
        <w:rPr>
          <w:b/>
        </w:rPr>
        <w:t>2015</w:t>
      </w:r>
    </w:p>
    <w:p w14:paraId="13887851" w14:textId="77777777" w:rsidR="008F236F" w:rsidRPr="00082AA7" w:rsidRDefault="008F236F" w:rsidP="00C548E9">
      <w:pPr>
        <w:rPr>
          <w:b/>
        </w:rPr>
      </w:pPr>
    </w:p>
    <w:p w14:paraId="757C65D5" w14:textId="77777777" w:rsidR="008F236F" w:rsidRPr="00082AA7" w:rsidRDefault="008F236F" w:rsidP="00C548E9">
      <w:pPr>
        <w:rPr>
          <w:b/>
        </w:rPr>
      </w:pPr>
    </w:p>
    <w:p w14:paraId="405B953D" w14:textId="77777777" w:rsidR="008F236F" w:rsidRPr="00082AA7" w:rsidRDefault="008F236F" w:rsidP="00C548E9">
      <w:pPr>
        <w:rPr>
          <w:b/>
        </w:rPr>
      </w:pPr>
    </w:p>
    <w:p w14:paraId="14791E8D" w14:textId="77777777" w:rsidR="00285F2A" w:rsidRPr="00082AA7" w:rsidRDefault="00285F2A" w:rsidP="00C548E9">
      <w:pPr>
        <w:rPr>
          <w:b/>
        </w:rPr>
      </w:pPr>
    </w:p>
    <w:p w14:paraId="0595D574" w14:textId="77777777" w:rsidR="00285F2A" w:rsidRPr="00082AA7" w:rsidRDefault="00285F2A" w:rsidP="00C548E9">
      <w:pPr>
        <w:rPr>
          <w:b/>
        </w:rPr>
      </w:pPr>
    </w:p>
    <w:p w14:paraId="602A6887" w14:textId="77777777" w:rsidR="00C548E9" w:rsidRPr="00082AA7" w:rsidRDefault="00091868" w:rsidP="00C548E9">
      <w:pPr>
        <w:rPr>
          <w:b/>
        </w:rPr>
      </w:pPr>
      <w:r w:rsidRPr="00082AA7">
        <w:rPr>
          <w:b/>
        </w:rPr>
        <w:t xml:space="preserve">Vypracovala </w:t>
      </w:r>
      <w:r w:rsidR="005B1B57" w:rsidRPr="00082AA7">
        <w:rPr>
          <w:b/>
        </w:rPr>
        <w:t xml:space="preserve">PPA               </w:t>
      </w:r>
      <w:r w:rsidR="00285F2A" w:rsidRPr="00082AA7">
        <w:rPr>
          <w:b/>
        </w:rPr>
        <w:t xml:space="preserve">                                           Schválil</w:t>
      </w:r>
      <w:r w:rsidRPr="00082AA7">
        <w:rPr>
          <w:b/>
        </w:rPr>
        <w:t>o MPRV SR</w:t>
      </w:r>
      <w:r w:rsidR="005B1B57" w:rsidRPr="00082AA7">
        <w:rPr>
          <w:b/>
        </w:rPr>
        <w:t xml:space="preserve">                                             </w:t>
      </w:r>
    </w:p>
    <w:p w14:paraId="5520F218" w14:textId="77777777" w:rsidR="002C46EA" w:rsidRDefault="003159F0" w:rsidP="00682AB8">
      <w:r w:rsidRPr="00082AA7">
        <w:tab/>
      </w:r>
    </w:p>
    <w:p w14:paraId="6CE8CB9C" w14:textId="77777777" w:rsidR="00E46F00" w:rsidRDefault="00E46F00" w:rsidP="00E46F00"/>
    <w:p w14:paraId="39D8201A" w14:textId="77777777" w:rsidR="00E46F00" w:rsidRDefault="00E46F00" w:rsidP="00E46F00"/>
    <w:p w14:paraId="335445CF" w14:textId="77777777" w:rsidR="00E46F00" w:rsidRDefault="00E46F00" w:rsidP="00E46F00"/>
    <w:p w14:paraId="537A5076" w14:textId="608808F5" w:rsidR="002C46EA" w:rsidRPr="00902DDE" w:rsidRDefault="002C46EA" w:rsidP="002C46EA"/>
    <w:p w14:paraId="4161AB0B" w14:textId="77777777" w:rsidR="002C46EA" w:rsidRDefault="002C46EA">
      <w:r>
        <w:br w:type="page"/>
      </w:r>
    </w:p>
    <w:p w14:paraId="4D4421AA" w14:textId="5AEB9B63" w:rsidR="002C46EA" w:rsidRDefault="002C46EA" w:rsidP="00180FB4">
      <w:pPr>
        <w:pStyle w:val="Nadpis2"/>
        <w:numPr>
          <w:ilvl w:val="0"/>
          <w:numId w:val="0"/>
        </w:numPr>
        <w:ind w:left="709" w:hanging="709"/>
        <w:rPr>
          <w:caps w:val="0"/>
        </w:rPr>
      </w:pPr>
      <w:bookmarkStart w:id="87" w:name="_Toc427842365"/>
      <w:bookmarkStart w:id="88" w:name="_Toc427854881"/>
      <w:r w:rsidRPr="002C46EA">
        <w:lastRenderedPageBreak/>
        <w:t>prílohy</w:t>
      </w:r>
      <w:bookmarkEnd w:id="87"/>
      <w:bookmarkEnd w:id="88"/>
    </w:p>
    <w:p w14:paraId="57FFBE07" w14:textId="77777777" w:rsidR="00921375" w:rsidRPr="00921375" w:rsidRDefault="00921375" w:rsidP="00921375"/>
    <w:p w14:paraId="415CE4FB" w14:textId="77777777" w:rsidR="00921375" w:rsidRDefault="00921375" w:rsidP="00682AB8"/>
    <w:p w14:paraId="1A0DDE9C" w14:textId="2CEA0FE6" w:rsidR="00921375" w:rsidRPr="00921375" w:rsidRDefault="00921375" w:rsidP="00180FB4">
      <w:pPr>
        <w:pStyle w:val="Nadpis3"/>
        <w:numPr>
          <w:ilvl w:val="0"/>
          <w:numId w:val="0"/>
        </w:numPr>
        <w:spacing w:after="240" w:line="276" w:lineRule="auto"/>
        <w:ind w:left="709" w:hanging="709"/>
        <w:rPr>
          <w:rFonts w:eastAsia="Times New Roman" w:cs="Times New Roman"/>
          <w:bCs/>
        </w:rPr>
      </w:pPr>
      <w:bookmarkStart w:id="89" w:name="_Toc427843345"/>
      <w:bookmarkStart w:id="90" w:name="_Toc427854882"/>
      <w:r w:rsidRPr="00921375">
        <w:rPr>
          <w:rFonts w:eastAsia="Times New Roman" w:cs="Times New Roman"/>
        </w:rPr>
        <w:t xml:space="preserve">Príloha 1 – </w:t>
      </w:r>
      <w:bookmarkEnd w:id="89"/>
      <w:r>
        <w:rPr>
          <w:rFonts w:eastAsia="Times New Roman" w:cs="Times New Roman"/>
        </w:rPr>
        <w:t>Súbor vo formáte Microsoft Excel na rýchlu identifikáciu podniku v</w:t>
      </w:r>
      <w:r w:rsidR="00253B86">
        <w:rPr>
          <w:rFonts w:eastAsia="Times New Roman" w:cs="Times New Roman"/>
        </w:rPr>
        <w:t> </w:t>
      </w:r>
      <w:r>
        <w:rPr>
          <w:rFonts w:eastAsia="Times New Roman" w:cs="Times New Roman"/>
        </w:rPr>
        <w:t>ťažkostiach</w:t>
      </w:r>
      <w:r w:rsidR="00253B86">
        <w:rPr>
          <w:rFonts w:eastAsia="Times New Roman" w:cs="Times New Roman"/>
        </w:rPr>
        <w:t xml:space="preserve"> (elektronická príloha)</w:t>
      </w:r>
      <w:bookmarkEnd w:id="90"/>
    </w:p>
    <w:p w14:paraId="55F8F562" w14:textId="686A778D" w:rsidR="005A6187" w:rsidRDefault="003159F0" w:rsidP="00682AB8">
      <w:r w:rsidRPr="00082AA7">
        <w:tab/>
      </w:r>
      <w:r w:rsidRPr="00082AA7">
        <w:tab/>
      </w:r>
      <w:r w:rsidRPr="00082AA7">
        <w:tab/>
        <w:t xml:space="preserve">    </w:t>
      </w:r>
      <w:r w:rsidR="003614AF" w:rsidRPr="00082AA7">
        <w:t xml:space="preserve">              </w:t>
      </w:r>
    </w:p>
    <w:p w14:paraId="0ECFFB9B" w14:textId="77777777" w:rsidR="005A6187" w:rsidRPr="005A6187" w:rsidRDefault="005A6187" w:rsidP="005A6187"/>
    <w:p w14:paraId="57794665" w14:textId="5BF4161D" w:rsidR="005A6187" w:rsidRDefault="005A6187" w:rsidP="005A6187"/>
    <w:p w14:paraId="3E014834" w14:textId="523BBB6C" w:rsidR="005B1B57" w:rsidRPr="005A6187" w:rsidRDefault="005A6187" w:rsidP="005A6187">
      <w:pPr>
        <w:tabs>
          <w:tab w:val="left" w:pos="1935"/>
        </w:tabs>
      </w:pPr>
      <w:r>
        <w:tab/>
      </w:r>
    </w:p>
    <w:sectPr w:rsidR="005B1B57" w:rsidRPr="005A6187" w:rsidSect="00180F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0634" w14:textId="77777777" w:rsidR="005778CD" w:rsidRDefault="005778CD" w:rsidP="00AD71F7">
      <w:r>
        <w:separator/>
      </w:r>
    </w:p>
  </w:endnote>
  <w:endnote w:type="continuationSeparator" w:id="0">
    <w:p w14:paraId="14D5AF93" w14:textId="77777777" w:rsidR="005778CD" w:rsidRDefault="005778CD" w:rsidP="00AD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45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8CBF1" w14:textId="3F735EE6" w:rsidR="00180FB4" w:rsidRDefault="00180FB4" w:rsidP="00E85039">
        <w:pPr>
          <w:pStyle w:val="Pta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8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F067" w14:textId="77777777" w:rsidR="005778CD" w:rsidRDefault="005778CD" w:rsidP="00AD71F7">
      <w:r>
        <w:separator/>
      </w:r>
    </w:p>
  </w:footnote>
  <w:footnote w:type="continuationSeparator" w:id="0">
    <w:p w14:paraId="267DC169" w14:textId="77777777" w:rsidR="005778CD" w:rsidRDefault="005778CD" w:rsidP="00AD71F7">
      <w:r>
        <w:continuationSeparator/>
      </w:r>
    </w:p>
  </w:footnote>
  <w:footnote w:id="1">
    <w:p w14:paraId="42C679C7" w14:textId="77777777" w:rsidR="00421410" w:rsidRPr="00180FB4" w:rsidRDefault="00421410" w:rsidP="008E79AC">
      <w:pPr>
        <w:pStyle w:val="Textpoznmkypodiarou"/>
        <w:rPr>
          <w:sz w:val="18"/>
          <w:szCs w:val="18"/>
          <w:lang w:val="en-US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Toto sa vzťahuje predovšetkým na druhy spoločností uvedené v prílohe I k smernici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 (Ú. v. EÚ L 182, 29.6.2013, s. 19</w:t>
      </w:r>
      <w:r w:rsidR="00BA69A3" w:rsidRPr="00180FB4">
        <w:rPr>
          <w:sz w:val="18"/>
          <w:szCs w:val="18"/>
        </w:rPr>
        <w:t>.</w:t>
      </w:r>
    </w:p>
  </w:footnote>
  <w:footnote w:id="2">
    <w:p w14:paraId="533A9E35" w14:textId="77777777" w:rsidR="00706949" w:rsidRPr="00180FB4" w:rsidRDefault="00706949" w:rsidP="008E79AC">
      <w:pPr>
        <w:pStyle w:val="Textpoznmkypodiarou"/>
        <w:rPr>
          <w:sz w:val="18"/>
          <w:szCs w:val="18"/>
          <w:lang w:val="en-US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</w:t>
      </w:r>
      <w:r w:rsidRPr="00180FB4">
        <w:rPr>
          <w:sz w:val="18"/>
          <w:szCs w:val="18"/>
          <w:lang w:val="en-US"/>
        </w:rPr>
        <w:t>Tam, kde je to relevantn</w:t>
      </w:r>
      <w:r w:rsidRPr="00180FB4">
        <w:rPr>
          <w:sz w:val="18"/>
          <w:szCs w:val="18"/>
        </w:rPr>
        <w:t>é, „základné imanie“ zahŕňa aj prípadné emisné ážio.</w:t>
      </w:r>
    </w:p>
  </w:footnote>
  <w:footnote w:id="3">
    <w:p w14:paraId="0D7708D6" w14:textId="77777777" w:rsidR="00CD7D84" w:rsidRPr="00180FB4" w:rsidRDefault="00CD7D84">
      <w:pPr>
        <w:pStyle w:val="Textpoznmkypodiarou"/>
        <w:rPr>
          <w:sz w:val="18"/>
          <w:szCs w:val="18"/>
          <w:lang w:val="en-US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</w:t>
      </w:r>
      <w:r w:rsidRPr="00180FB4">
        <w:rPr>
          <w:sz w:val="18"/>
          <w:szCs w:val="18"/>
          <w:lang w:val="en-US"/>
        </w:rPr>
        <w:t>Toto sa vzťahuje predovšetkým na typy spoločností uvedené v prílohe II k smernici 2013/34/E</w:t>
      </w:r>
      <w:r w:rsidRPr="00180FB4">
        <w:rPr>
          <w:sz w:val="18"/>
          <w:szCs w:val="18"/>
        </w:rPr>
        <w:t>Ú.</w:t>
      </w:r>
    </w:p>
  </w:footnote>
  <w:footnote w:id="4">
    <w:p w14:paraId="41D7DDDE" w14:textId="77777777" w:rsidR="00BA69A3" w:rsidRPr="00180FB4" w:rsidRDefault="00BA69A3">
      <w:pPr>
        <w:pStyle w:val="Textpoznmkypodiarou"/>
        <w:rPr>
          <w:sz w:val="18"/>
          <w:szCs w:val="18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Toto sa vzťahuje predovšetkým na druhy spoločností uvedené v prílohe I k smernici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 (Ú. v. EÚ L 182, 29.6.2013, s. 19</w:t>
      </w:r>
    </w:p>
  </w:footnote>
  <w:footnote w:id="5">
    <w:p w14:paraId="116752CF" w14:textId="77777777" w:rsidR="00BA69A3" w:rsidRPr="00180FB4" w:rsidRDefault="00BA69A3">
      <w:pPr>
        <w:pStyle w:val="Textpoznmkypodiarou"/>
        <w:rPr>
          <w:sz w:val="18"/>
          <w:szCs w:val="18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Tam, kde je to relevantné, „základné imanie“ zahŕňa aj prípadné emisné ážio.</w:t>
      </w:r>
    </w:p>
  </w:footnote>
  <w:footnote w:id="6">
    <w:p w14:paraId="43E09BC7" w14:textId="77777777" w:rsidR="00F41F8B" w:rsidRPr="00180FB4" w:rsidRDefault="00F41F8B">
      <w:pPr>
        <w:pStyle w:val="Textpoznmkypodiarou"/>
        <w:rPr>
          <w:sz w:val="18"/>
          <w:szCs w:val="18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Emisné ážio  sa berie do úvahy len v prípade akciových spoločností; pri ostatných typoch spoločností je irelevatné</w:t>
      </w:r>
    </w:p>
  </w:footnote>
  <w:footnote w:id="7">
    <w:p w14:paraId="576B7EE1" w14:textId="77777777" w:rsidR="00C16B4B" w:rsidRPr="00180FB4" w:rsidRDefault="00C16B4B" w:rsidP="00C16B4B">
      <w:pPr>
        <w:pStyle w:val="Textpoznmkypodiarou"/>
        <w:rPr>
          <w:sz w:val="18"/>
          <w:szCs w:val="18"/>
          <w:lang w:val="en-US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</w:t>
      </w:r>
      <w:r w:rsidRPr="00180FB4">
        <w:rPr>
          <w:sz w:val="18"/>
          <w:szCs w:val="18"/>
          <w:lang w:val="en-US"/>
        </w:rPr>
        <w:t>Toto sa vzťahuje predovšetkým na typy spoločností uvedené v prílohe II k smernici 2013/34/E</w:t>
      </w:r>
      <w:r w:rsidRPr="00180FB4">
        <w:rPr>
          <w:sz w:val="18"/>
          <w:szCs w:val="18"/>
        </w:rPr>
        <w:t>Ú.</w:t>
      </w:r>
    </w:p>
  </w:footnote>
  <w:footnote w:id="8">
    <w:p w14:paraId="51EF604E" w14:textId="77777777" w:rsidR="00662D08" w:rsidRPr="00180FB4" w:rsidRDefault="00662D08" w:rsidP="008E79AC">
      <w:pPr>
        <w:pStyle w:val="Textpoznmkypodiarou"/>
        <w:rPr>
          <w:sz w:val="18"/>
          <w:szCs w:val="18"/>
        </w:rPr>
      </w:pPr>
      <w:r w:rsidRPr="00180FB4">
        <w:rPr>
          <w:rStyle w:val="Odkaznapoznmkupodiarou"/>
          <w:sz w:val="18"/>
          <w:szCs w:val="18"/>
        </w:rPr>
        <w:footnoteRef/>
      </w:r>
      <w:r w:rsidRPr="00180FB4">
        <w:rPr>
          <w:sz w:val="18"/>
          <w:szCs w:val="18"/>
        </w:rPr>
        <w:t xml:space="preserve"> Daňové priznanie je povinný podať každý daňovník, ak za zdaňovacie obdobie dosiahol zdaniteľné príjmy presahujúce 50% nezdaniteľného základu dane. Daňové priznanie je povinný podať aj daňovník ktorého zdaniteľné príjmy nepresiahli  50% nezdaniteľného základu dane, ale vykazuje daňovú stratu.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2E88" w14:textId="77777777" w:rsidR="00180FB4" w:rsidRDefault="00180F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24B62"/>
    <w:multiLevelType w:val="hybridMultilevel"/>
    <w:tmpl w:val="1476485C"/>
    <w:lvl w:ilvl="0" w:tplc="3F0401F8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A51024E"/>
    <w:multiLevelType w:val="hybridMultilevel"/>
    <w:tmpl w:val="1830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8BA"/>
    <w:multiLevelType w:val="hybridMultilevel"/>
    <w:tmpl w:val="AE9AED3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01499"/>
    <w:multiLevelType w:val="hybridMultilevel"/>
    <w:tmpl w:val="EEA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25A7"/>
    <w:multiLevelType w:val="hybridMultilevel"/>
    <w:tmpl w:val="748A5F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EF7"/>
    <w:multiLevelType w:val="hybridMultilevel"/>
    <w:tmpl w:val="42FE6A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C4D7D"/>
    <w:multiLevelType w:val="hybridMultilevel"/>
    <w:tmpl w:val="31B07A2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61EC4"/>
    <w:multiLevelType w:val="hybridMultilevel"/>
    <w:tmpl w:val="D58A91E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E84AC3"/>
    <w:multiLevelType w:val="hybridMultilevel"/>
    <w:tmpl w:val="36942E2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86455B"/>
    <w:multiLevelType w:val="hybridMultilevel"/>
    <w:tmpl w:val="D19E5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A310E"/>
    <w:multiLevelType w:val="multilevel"/>
    <w:tmpl w:val="275C4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4F2487"/>
    <w:multiLevelType w:val="hybridMultilevel"/>
    <w:tmpl w:val="74A2D8A0"/>
    <w:lvl w:ilvl="0" w:tplc="A9F22F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CC77AF"/>
    <w:multiLevelType w:val="hybridMultilevel"/>
    <w:tmpl w:val="6BB6B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B0D26"/>
    <w:multiLevelType w:val="hybridMultilevel"/>
    <w:tmpl w:val="626666A6"/>
    <w:lvl w:ilvl="0" w:tplc="0898FB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F52E02"/>
    <w:multiLevelType w:val="hybridMultilevel"/>
    <w:tmpl w:val="6CA09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87317"/>
    <w:multiLevelType w:val="hybridMultilevel"/>
    <w:tmpl w:val="F33AB4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B544E1"/>
    <w:multiLevelType w:val="hybridMultilevel"/>
    <w:tmpl w:val="71346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F209F1"/>
    <w:multiLevelType w:val="hybridMultilevel"/>
    <w:tmpl w:val="31B07A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9552F"/>
    <w:multiLevelType w:val="hybridMultilevel"/>
    <w:tmpl w:val="89E8F938"/>
    <w:lvl w:ilvl="0" w:tplc="FB7A3E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7A47978"/>
    <w:multiLevelType w:val="multilevel"/>
    <w:tmpl w:val="E6C6CC54"/>
    <w:lvl w:ilvl="0">
      <w:start w:val="2"/>
      <w:numFmt w:val="upperLetter"/>
      <w:pStyle w:val="StyleHeading1"/>
      <w:lvlText w:val="%1 - 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000066"/>
        <w:sz w:val="24"/>
        <w:szCs w:val="24"/>
      </w:rPr>
    </w:lvl>
    <w:lvl w:ilvl="1">
      <w:start w:val="1"/>
      <w:numFmt w:val="decimal"/>
      <w:pStyle w:val="Nadpis2"/>
      <w:lvlText w:val="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olor w:val="000066"/>
        <w:sz w:val="24"/>
        <w:szCs w:val="24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olor w:val="000066"/>
        <w:sz w:val="22"/>
        <w:szCs w:val="22"/>
      </w:rPr>
    </w:lvl>
    <w:lvl w:ilvl="3">
      <w:start w:val="1"/>
      <w:numFmt w:val="decimal"/>
      <w:pStyle w:val="Nadpis4"/>
      <w:lvlText w:val="%2.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/>
        <w:color w:val="000066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tabs>
          <w:tab w:val="num" w:pos="1080"/>
        </w:tabs>
        <w:ind w:left="709" w:hanging="709"/>
      </w:pPr>
      <w:rPr>
        <w:rFonts w:ascii="Verdana" w:hAnsi="Verdana" w:hint="default"/>
        <w:b/>
        <w:i/>
        <w:color w:val="003366"/>
        <w:sz w:val="20"/>
        <w:u w:val="singl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C43A34"/>
    <w:multiLevelType w:val="hybridMultilevel"/>
    <w:tmpl w:val="EF66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1D54"/>
    <w:multiLevelType w:val="hybridMultilevel"/>
    <w:tmpl w:val="A93E5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73258"/>
    <w:multiLevelType w:val="hybridMultilevel"/>
    <w:tmpl w:val="2EC6D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64483"/>
    <w:multiLevelType w:val="hybridMultilevel"/>
    <w:tmpl w:val="101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63253"/>
    <w:multiLevelType w:val="hybridMultilevel"/>
    <w:tmpl w:val="7EFC32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943E3"/>
    <w:multiLevelType w:val="hybridMultilevel"/>
    <w:tmpl w:val="22B01448"/>
    <w:lvl w:ilvl="0" w:tplc="9156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2202D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7A309C"/>
    <w:multiLevelType w:val="hybridMultilevel"/>
    <w:tmpl w:val="B9940CD8"/>
    <w:lvl w:ilvl="0" w:tplc="A544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A4D3DC3"/>
    <w:multiLevelType w:val="hybridMultilevel"/>
    <w:tmpl w:val="4EF46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7"/>
  </w:num>
  <w:num w:numId="4">
    <w:abstractNumId w:val="11"/>
  </w:num>
  <w:num w:numId="5">
    <w:abstractNumId w:val="26"/>
  </w:num>
  <w:num w:numId="6">
    <w:abstractNumId w:val="25"/>
  </w:num>
  <w:num w:numId="7">
    <w:abstractNumId w:val="19"/>
  </w:num>
  <w:num w:numId="8">
    <w:abstractNumId w:val="14"/>
  </w:num>
  <w:num w:numId="9">
    <w:abstractNumId w:val="5"/>
  </w:num>
  <w:num w:numId="10">
    <w:abstractNumId w:val="18"/>
  </w:num>
  <w:num w:numId="11">
    <w:abstractNumId w:val="9"/>
  </w:num>
  <w:num w:numId="12">
    <w:abstractNumId w:val="12"/>
  </w:num>
  <w:num w:numId="13">
    <w:abstractNumId w:val="21"/>
  </w:num>
  <w:num w:numId="14">
    <w:abstractNumId w:val="17"/>
  </w:num>
  <w:num w:numId="15">
    <w:abstractNumId w:val="28"/>
  </w:num>
  <w:num w:numId="16">
    <w:abstractNumId w:val="24"/>
  </w:num>
  <w:num w:numId="17">
    <w:abstractNumId w:val="0"/>
  </w:num>
  <w:num w:numId="18">
    <w:abstractNumId w:val="16"/>
  </w:num>
  <w:num w:numId="19">
    <w:abstractNumId w:val="10"/>
  </w:num>
  <w:num w:numId="20">
    <w:abstractNumId w:val="3"/>
  </w:num>
  <w:num w:numId="21">
    <w:abstractNumId w:val="15"/>
  </w:num>
  <w:num w:numId="22">
    <w:abstractNumId w:val="8"/>
  </w:num>
  <w:num w:numId="23">
    <w:abstractNumId w:val="4"/>
  </w:num>
  <w:num w:numId="24">
    <w:abstractNumId w:val="7"/>
  </w:num>
  <w:num w:numId="25">
    <w:abstractNumId w:val="1"/>
  </w:num>
  <w:num w:numId="26">
    <w:abstractNumId w:val="23"/>
  </w:num>
  <w:num w:numId="27">
    <w:abstractNumId w:val="2"/>
  </w:num>
  <w:num w:numId="28">
    <w:abstractNumId w:val="13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RJa5z7mxnymz1OKnqFgKVCm+gK+K+oeToDdX+R3CC0CRx7qcBphiA4lIaOhoSN1iP7qI9w+w2ZAVFqKE215JA==" w:salt="C0b0arlpjfQFz/xnZr1y4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9"/>
    <w:rsid w:val="00004FE0"/>
    <w:rsid w:val="00011980"/>
    <w:rsid w:val="000266F2"/>
    <w:rsid w:val="00044E7A"/>
    <w:rsid w:val="0004620B"/>
    <w:rsid w:val="0005599F"/>
    <w:rsid w:val="00065175"/>
    <w:rsid w:val="00071E23"/>
    <w:rsid w:val="00073EAD"/>
    <w:rsid w:val="00076675"/>
    <w:rsid w:val="00081E3B"/>
    <w:rsid w:val="00082AA7"/>
    <w:rsid w:val="000912B8"/>
    <w:rsid w:val="00091868"/>
    <w:rsid w:val="000A4CFD"/>
    <w:rsid w:val="000A5721"/>
    <w:rsid w:val="000A5893"/>
    <w:rsid w:val="000A7FF0"/>
    <w:rsid w:val="000B3E54"/>
    <w:rsid w:val="000B484D"/>
    <w:rsid w:val="000B4D12"/>
    <w:rsid w:val="000C1F96"/>
    <w:rsid w:val="000C279D"/>
    <w:rsid w:val="000C69DC"/>
    <w:rsid w:val="000D26BF"/>
    <w:rsid w:val="000E0524"/>
    <w:rsid w:val="000E5811"/>
    <w:rsid w:val="00103866"/>
    <w:rsid w:val="00103922"/>
    <w:rsid w:val="00133011"/>
    <w:rsid w:val="001611A1"/>
    <w:rsid w:val="001700AF"/>
    <w:rsid w:val="00180FB4"/>
    <w:rsid w:val="001A358E"/>
    <w:rsid w:val="001C0490"/>
    <w:rsid w:val="001D0472"/>
    <w:rsid w:val="001D74AB"/>
    <w:rsid w:val="00207408"/>
    <w:rsid w:val="002102DC"/>
    <w:rsid w:val="002111BB"/>
    <w:rsid w:val="00215CE7"/>
    <w:rsid w:val="00217AB6"/>
    <w:rsid w:val="00251FED"/>
    <w:rsid w:val="002535A8"/>
    <w:rsid w:val="00253B86"/>
    <w:rsid w:val="00265993"/>
    <w:rsid w:val="0027039F"/>
    <w:rsid w:val="00271193"/>
    <w:rsid w:val="0027477B"/>
    <w:rsid w:val="0028040C"/>
    <w:rsid w:val="00285F2A"/>
    <w:rsid w:val="002867F2"/>
    <w:rsid w:val="00291D96"/>
    <w:rsid w:val="002925F5"/>
    <w:rsid w:val="002A017A"/>
    <w:rsid w:val="002A268F"/>
    <w:rsid w:val="002C46EA"/>
    <w:rsid w:val="002C7BA9"/>
    <w:rsid w:val="002D25C0"/>
    <w:rsid w:val="002D3CD5"/>
    <w:rsid w:val="002D4A54"/>
    <w:rsid w:val="002E6B13"/>
    <w:rsid w:val="002E7E5B"/>
    <w:rsid w:val="003076F3"/>
    <w:rsid w:val="003159F0"/>
    <w:rsid w:val="003351BB"/>
    <w:rsid w:val="00336776"/>
    <w:rsid w:val="0034021F"/>
    <w:rsid w:val="00341AD6"/>
    <w:rsid w:val="0034478F"/>
    <w:rsid w:val="00347B70"/>
    <w:rsid w:val="003614AF"/>
    <w:rsid w:val="00361870"/>
    <w:rsid w:val="00366153"/>
    <w:rsid w:val="00370B77"/>
    <w:rsid w:val="0039366A"/>
    <w:rsid w:val="003B52C5"/>
    <w:rsid w:val="003D1046"/>
    <w:rsid w:val="003E7ED5"/>
    <w:rsid w:val="003F56E1"/>
    <w:rsid w:val="00400137"/>
    <w:rsid w:val="0041234E"/>
    <w:rsid w:val="00412747"/>
    <w:rsid w:val="00421410"/>
    <w:rsid w:val="0042159F"/>
    <w:rsid w:val="0042409F"/>
    <w:rsid w:val="00450905"/>
    <w:rsid w:val="00461AA9"/>
    <w:rsid w:val="0047335C"/>
    <w:rsid w:val="004905FD"/>
    <w:rsid w:val="00490A6B"/>
    <w:rsid w:val="004A2211"/>
    <w:rsid w:val="004A3F5C"/>
    <w:rsid w:val="004B60E7"/>
    <w:rsid w:val="004C6FAB"/>
    <w:rsid w:val="004E6EA5"/>
    <w:rsid w:val="004F4D0B"/>
    <w:rsid w:val="00520146"/>
    <w:rsid w:val="005206B0"/>
    <w:rsid w:val="0052447B"/>
    <w:rsid w:val="00557D6B"/>
    <w:rsid w:val="00561F23"/>
    <w:rsid w:val="00562C73"/>
    <w:rsid w:val="00563508"/>
    <w:rsid w:val="005738CA"/>
    <w:rsid w:val="005740FB"/>
    <w:rsid w:val="005778CD"/>
    <w:rsid w:val="005912F4"/>
    <w:rsid w:val="005A2AFF"/>
    <w:rsid w:val="005A6187"/>
    <w:rsid w:val="005B1B57"/>
    <w:rsid w:val="005D4581"/>
    <w:rsid w:val="005E69B4"/>
    <w:rsid w:val="006119BA"/>
    <w:rsid w:val="00614AB3"/>
    <w:rsid w:val="00635DDB"/>
    <w:rsid w:val="00654023"/>
    <w:rsid w:val="006543CB"/>
    <w:rsid w:val="00654C84"/>
    <w:rsid w:val="00662D08"/>
    <w:rsid w:val="00677271"/>
    <w:rsid w:val="00681E2D"/>
    <w:rsid w:val="00682AB8"/>
    <w:rsid w:val="00687233"/>
    <w:rsid w:val="006924D7"/>
    <w:rsid w:val="006B20C7"/>
    <w:rsid w:val="006B331C"/>
    <w:rsid w:val="006B51EA"/>
    <w:rsid w:val="006C2CC5"/>
    <w:rsid w:val="006D0662"/>
    <w:rsid w:val="006E0774"/>
    <w:rsid w:val="006E18EA"/>
    <w:rsid w:val="006F0A06"/>
    <w:rsid w:val="006F38E0"/>
    <w:rsid w:val="006F42BB"/>
    <w:rsid w:val="00701B79"/>
    <w:rsid w:val="00706949"/>
    <w:rsid w:val="00711062"/>
    <w:rsid w:val="00736585"/>
    <w:rsid w:val="00757821"/>
    <w:rsid w:val="007644AA"/>
    <w:rsid w:val="007819A2"/>
    <w:rsid w:val="0078681E"/>
    <w:rsid w:val="007868AC"/>
    <w:rsid w:val="007B1B1E"/>
    <w:rsid w:val="007B3578"/>
    <w:rsid w:val="007B5CC1"/>
    <w:rsid w:val="007C3052"/>
    <w:rsid w:val="007D6A67"/>
    <w:rsid w:val="007E5199"/>
    <w:rsid w:val="007F1466"/>
    <w:rsid w:val="007F3D30"/>
    <w:rsid w:val="007F71B6"/>
    <w:rsid w:val="00805A34"/>
    <w:rsid w:val="0082256A"/>
    <w:rsid w:val="00830BC3"/>
    <w:rsid w:val="0084106E"/>
    <w:rsid w:val="008461D0"/>
    <w:rsid w:val="00857D00"/>
    <w:rsid w:val="008969CC"/>
    <w:rsid w:val="008975FB"/>
    <w:rsid w:val="008A6522"/>
    <w:rsid w:val="008D2263"/>
    <w:rsid w:val="008E11F2"/>
    <w:rsid w:val="008E79AC"/>
    <w:rsid w:val="008F236F"/>
    <w:rsid w:val="008F2E85"/>
    <w:rsid w:val="008F5EB8"/>
    <w:rsid w:val="00901CE3"/>
    <w:rsid w:val="00904DCF"/>
    <w:rsid w:val="0091647E"/>
    <w:rsid w:val="00921375"/>
    <w:rsid w:val="009216FD"/>
    <w:rsid w:val="00922D49"/>
    <w:rsid w:val="00962FE3"/>
    <w:rsid w:val="00964297"/>
    <w:rsid w:val="00965753"/>
    <w:rsid w:val="00974FA2"/>
    <w:rsid w:val="00982455"/>
    <w:rsid w:val="00986FAD"/>
    <w:rsid w:val="0099633F"/>
    <w:rsid w:val="0099685D"/>
    <w:rsid w:val="009A0DCC"/>
    <w:rsid w:val="009A6AD8"/>
    <w:rsid w:val="009B5B32"/>
    <w:rsid w:val="009C5F98"/>
    <w:rsid w:val="009E3E70"/>
    <w:rsid w:val="009E6E4F"/>
    <w:rsid w:val="009F4C87"/>
    <w:rsid w:val="00A42015"/>
    <w:rsid w:val="00A67F96"/>
    <w:rsid w:val="00AB0305"/>
    <w:rsid w:val="00AB2203"/>
    <w:rsid w:val="00AC10FA"/>
    <w:rsid w:val="00AC311B"/>
    <w:rsid w:val="00AD005A"/>
    <w:rsid w:val="00AD71F7"/>
    <w:rsid w:val="00AF0AB5"/>
    <w:rsid w:val="00AF49BE"/>
    <w:rsid w:val="00B048F6"/>
    <w:rsid w:val="00B118C3"/>
    <w:rsid w:val="00B11DCF"/>
    <w:rsid w:val="00B20EE2"/>
    <w:rsid w:val="00B24182"/>
    <w:rsid w:val="00B51C7C"/>
    <w:rsid w:val="00B557A0"/>
    <w:rsid w:val="00B81820"/>
    <w:rsid w:val="00B91895"/>
    <w:rsid w:val="00B96D82"/>
    <w:rsid w:val="00BA211B"/>
    <w:rsid w:val="00BA2DE5"/>
    <w:rsid w:val="00BA4143"/>
    <w:rsid w:val="00BA69A3"/>
    <w:rsid w:val="00BC0170"/>
    <w:rsid w:val="00BC52DD"/>
    <w:rsid w:val="00BC6F40"/>
    <w:rsid w:val="00BD4D98"/>
    <w:rsid w:val="00BE177F"/>
    <w:rsid w:val="00C06CE3"/>
    <w:rsid w:val="00C16B4B"/>
    <w:rsid w:val="00C314CF"/>
    <w:rsid w:val="00C326BE"/>
    <w:rsid w:val="00C40266"/>
    <w:rsid w:val="00C548E9"/>
    <w:rsid w:val="00C67E6A"/>
    <w:rsid w:val="00C7440A"/>
    <w:rsid w:val="00C81A1B"/>
    <w:rsid w:val="00C82132"/>
    <w:rsid w:val="00CA27AF"/>
    <w:rsid w:val="00CB547C"/>
    <w:rsid w:val="00CB7C7B"/>
    <w:rsid w:val="00CC5A2C"/>
    <w:rsid w:val="00CD009C"/>
    <w:rsid w:val="00CD7D84"/>
    <w:rsid w:val="00CE012A"/>
    <w:rsid w:val="00CE047A"/>
    <w:rsid w:val="00D168B4"/>
    <w:rsid w:val="00D170FA"/>
    <w:rsid w:val="00D241A9"/>
    <w:rsid w:val="00D27AB6"/>
    <w:rsid w:val="00D30FA1"/>
    <w:rsid w:val="00D4537F"/>
    <w:rsid w:val="00D5514A"/>
    <w:rsid w:val="00D71BB6"/>
    <w:rsid w:val="00DB7498"/>
    <w:rsid w:val="00DC2CA6"/>
    <w:rsid w:val="00DC7D1B"/>
    <w:rsid w:val="00DD4B94"/>
    <w:rsid w:val="00DE2C8F"/>
    <w:rsid w:val="00DE3DFA"/>
    <w:rsid w:val="00DF284B"/>
    <w:rsid w:val="00DF717F"/>
    <w:rsid w:val="00E00CD7"/>
    <w:rsid w:val="00E05DD2"/>
    <w:rsid w:val="00E11312"/>
    <w:rsid w:val="00E20100"/>
    <w:rsid w:val="00E40F0E"/>
    <w:rsid w:val="00E46F00"/>
    <w:rsid w:val="00E55CA9"/>
    <w:rsid w:val="00E709B5"/>
    <w:rsid w:val="00E70D04"/>
    <w:rsid w:val="00E77273"/>
    <w:rsid w:val="00E77B59"/>
    <w:rsid w:val="00E83C04"/>
    <w:rsid w:val="00E85039"/>
    <w:rsid w:val="00E8768A"/>
    <w:rsid w:val="00E958ED"/>
    <w:rsid w:val="00EA2E58"/>
    <w:rsid w:val="00EB104A"/>
    <w:rsid w:val="00EB152D"/>
    <w:rsid w:val="00EB1881"/>
    <w:rsid w:val="00EB4E62"/>
    <w:rsid w:val="00EE4379"/>
    <w:rsid w:val="00EE65C0"/>
    <w:rsid w:val="00EF3128"/>
    <w:rsid w:val="00F07647"/>
    <w:rsid w:val="00F14808"/>
    <w:rsid w:val="00F21E47"/>
    <w:rsid w:val="00F27C7E"/>
    <w:rsid w:val="00F40F5C"/>
    <w:rsid w:val="00F41F8B"/>
    <w:rsid w:val="00F545E1"/>
    <w:rsid w:val="00F56506"/>
    <w:rsid w:val="00F67F80"/>
    <w:rsid w:val="00F72E06"/>
    <w:rsid w:val="00F77129"/>
    <w:rsid w:val="00F85CC9"/>
    <w:rsid w:val="00F90BF2"/>
    <w:rsid w:val="00F91A3B"/>
    <w:rsid w:val="00FA5EA1"/>
    <w:rsid w:val="00FB3097"/>
    <w:rsid w:val="00FB483E"/>
    <w:rsid w:val="00FB494A"/>
    <w:rsid w:val="00FB4D5A"/>
    <w:rsid w:val="00FB5562"/>
    <w:rsid w:val="00FE067F"/>
    <w:rsid w:val="00FE1257"/>
    <w:rsid w:val="00FE3A97"/>
    <w:rsid w:val="00FE436D"/>
    <w:rsid w:val="00FF61E0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A572F"/>
  <w15:chartTrackingRefBased/>
  <w15:docId w15:val="{A1C01E89-4A5E-4540-9067-BFA7D004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B4"/>
    <w:pPr>
      <w:jc w:val="both"/>
    </w:pPr>
    <w:rPr>
      <w:sz w:val="22"/>
      <w:lang w:val="sk-SK"/>
    </w:rPr>
  </w:style>
  <w:style w:type="paragraph" w:styleId="Nadpis1">
    <w:name w:val="heading 1"/>
    <w:aliases w:val="h1"/>
    <w:basedOn w:val="Normlny"/>
    <w:next w:val="Normlny"/>
    <w:link w:val="Nadpis1Char"/>
    <w:qFormat/>
    <w:rsid w:val="00180FB4"/>
    <w:pPr>
      <w:keepNext/>
      <w:outlineLvl w:val="0"/>
    </w:pPr>
    <w:rPr>
      <w:rFonts w:ascii="Verdana" w:hAnsi="Verdana"/>
      <w:b/>
      <w:caps/>
      <w:color w:val="003366"/>
      <w:sz w:val="24"/>
      <w:lang w:val="en-GB"/>
    </w:rPr>
  </w:style>
  <w:style w:type="paragraph" w:styleId="Nadpis2">
    <w:name w:val="heading 2"/>
    <w:aliases w:val="h2,Normal Heading 2,LetHead2,- 1,2,3,H2,Reset numbering"/>
    <w:basedOn w:val="Nadpis1"/>
    <w:next w:val="Normlny"/>
    <w:link w:val="Nadpis2Char"/>
    <w:qFormat/>
    <w:rsid w:val="00180FB4"/>
    <w:pPr>
      <w:numPr>
        <w:ilvl w:val="1"/>
        <w:numId w:val="37"/>
      </w:numPr>
      <w:outlineLvl w:val="1"/>
    </w:pPr>
    <w:rPr>
      <w:rFonts w:ascii="Times New Roman" w:hAnsi="Times New Roman"/>
      <w:color w:val="000066"/>
      <w:szCs w:val="24"/>
      <w:lang w:val="sk-SK"/>
    </w:rPr>
  </w:style>
  <w:style w:type="paragraph" w:styleId="Nadpis3">
    <w:name w:val="heading 3"/>
    <w:aliases w:val="h3,1.2.3. Heading 3,3 bullet,b,H3,Level 1 - 1"/>
    <w:basedOn w:val="Nadpis2"/>
    <w:next w:val="Normlny"/>
    <w:link w:val="Nadpis3Char"/>
    <w:qFormat/>
    <w:rsid w:val="00180FB4"/>
    <w:pPr>
      <w:numPr>
        <w:ilvl w:val="2"/>
      </w:numPr>
      <w:outlineLvl w:val="2"/>
    </w:pPr>
    <w:rPr>
      <w:rFonts w:eastAsiaTheme="majorEastAsia" w:cstheme="majorBidi"/>
      <w:caps w:val="0"/>
      <w:sz w:val="22"/>
      <w:szCs w:val="22"/>
    </w:rPr>
  </w:style>
  <w:style w:type="paragraph" w:styleId="Nadpis4">
    <w:name w:val="heading 4"/>
    <w:aliases w:val="h4"/>
    <w:basedOn w:val="Normlny"/>
    <w:next w:val="Normlny"/>
    <w:link w:val="Nadpis4Char"/>
    <w:qFormat/>
    <w:rsid w:val="00180FB4"/>
    <w:pPr>
      <w:keepNext/>
      <w:numPr>
        <w:ilvl w:val="3"/>
        <w:numId w:val="37"/>
      </w:numPr>
      <w:outlineLvl w:val="3"/>
    </w:pPr>
    <w:rPr>
      <w:b/>
      <w:i/>
      <w:color w:val="000066"/>
    </w:rPr>
  </w:style>
  <w:style w:type="paragraph" w:styleId="Nadpis5">
    <w:name w:val="heading 5"/>
    <w:basedOn w:val="Normlny"/>
    <w:next w:val="Normlny"/>
    <w:link w:val="Nadpis5Char"/>
    <w:qFormat/>
    <w:rsid w:val="00180FB4"/>
    <w:pPr>
      <w:numPr>
        <w:ilvl w:val="4"/>
        <w:numId w:val="37"/>
      </w:numPr>
      <w:outlineLvl w:val="4"/>
    </w:pPr>
    <w:rPr>
      <w:rFonts w:ascii="Verdana" w:hAnsi="Verdana"/>
      <w:b/>
      <w:i/>
      <w:color w:val="003366"/>
      <w:sz w:val="20"/>
      <w:u w:val="single"/>
    </w:rPr>
  </w:style>
  <w:style w:type="paragraph" w:styleId="Nadpis6">
    <w:name w:val="heading 6"/>
    <w:basedOn w:val="Normlny"/>
    <w:next w:val="Normlny"/>
    <w:link w:val="Nadpis6Char"/>
    <w:qFormat/>
    <w:rsid w:val="00180FB4"/>
    <w:pPr>
      <w:numPr>
        <w:ilvl w:val="5"/>
        <w:numId w:val="37"/>
      </w:numPr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y"/>
    <w:next w:val="Normlny"/>
    <w:link w:val="Nadpis7Char"/>
    <w:qFormat/>
    <w:rsid w:val="00180FB4"/>
    <w:pPr>
      <w:numPr>
        <w:ilvl w:val="6"/>
        <w:numId w:val="37"/>
      </w:numPr>
      <w:spacing w:before="240" w:after="60"/>
      <w:outlineLvl w:val="6"/>
    </w:pPr>
    <w:rPr>
      <w:rFonts w:ascii="Verdana" w:hAnsi="Verdana"/>
      <w:sz w:val="20"/>
    </w:rPr>
  </w:style>
  <w:style w:type="paragraph" w:styleId="Nadpis8">
    <w:name w:val="heading 8"/>
    <w:basedOn w:val="Normlny"/>
    <w:next w:val="Normlny"/>
    <w:link w:val="Nadpis8Char"/>
    <w:qFormat/>
    <w:rsid w:val="00180FB4"/>
    <w:pPr>
      <w:numPr>
        <w:ilvl w:val="7"/>
        <w:numId w:val="37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link w:val="Nadpis9Char"/>
    <w:qFormat/>
    <w:rsid w:val="00180FB4"/>
    <w:pPr>
      <w:numPr>
        <w:ilvl w:val="8"/>
        <w:numId w:val="3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548E9"/>
    <w:rPr>
      <w:u w:val="single"/>
      <w:lang w:val="x-none" w:eastAsia="x-none"/>
    </w:rPr>
  </w:style>
  <w:style w:type="character" w:customStyle="1" w:styleId="Zkladntext2Char">
    <w:name w:val="Základný text 2 Char"/>
    <w:link w:val="Zkladntext2"/>
    <w:rsid w:val="00C548E9"/>
    <w:rPr>
      <w:sz w:val="24"/>
      <w:szCs w:val="24"/>
      <w:u w:val="single"/>
    </w:rPr>
  </w:style>
  <w:style w:type="character" w:styleId="Odkaznakomentr">
    <w:name w:val="annotation reference"/>
    <w:semiHidden/>
    <w:rsid w:val="00C548E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548E9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548E9"/>
  </w:style>
  <w:style w:type="paragraph" w:styleId="Textbubliny">
    <w:name w:val="Balloon Text"/>
    <w:basedOn w:val="Normlny"/>
    <w:link w:val="TextbublinyChar"/>
    <w:uiPriority w:val="99"/>
    <w:semiHidden/>
    <w:unhideWhenUsed/>
    <w:rsid w:val="00C548E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548E9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0490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1C049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1131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rsid w:val="00E11312"/>
    <w:rPr>
      <w:sz w:val="24"/>
      <w:szCs w:val="24"/>
    </w:rPr>
  </w:style>
  <w:style w:type="character" w:customStyle="1" w:styleId="Nadpis1Char">
    <w:name w:val="Nadpis 1 Char"/>
    <w:aliases w:val="h1 Char"/>
    <w:link w:val="Nadpis1"/>
    <w:rsid w:val="00E11312"/>
    <w:rPr>
      <w:rFonts w:ascii="Verdana" w:hAnsi="Verdana"/>
      <w:b/>
      <w:caps/>
      <w:color w:val="003366"/>
      <w:sz w:val="24"/>
      <w:lang w:val="en-GB"/>
    </w:rPr>
  </w:style>
  <w:style w:type="paragraph" w:customStyle="1" w:styleId="ManualCharCharCharCharCharCharCharCharCharCharCharChar1CharCharCharCharCharChar">
    <w:name w:val="Manual Char Char Char Char Char Char Char Char Char Char Char Char1 Char Char Char Char Char Char"/>
    <w:basedOn w:val="Normlny"/>
    <w:rsid w:val="00461AA9"/>
    <w:pPr>
      <w:spacing w:after="160" w:line="240" w:lineRule="exact"/>
    </w:pPr>
    <w:rPr>
      <w:rFonts w:cs="Tahom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4A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D74AB"/>
    <w:rPr>
      <w:b/>
      <w:bCs/>
      <w:lang w:val="sk-SK" w:eastAsia="sk-SK"/>
    </w:rPr>
  </w:style>
  <w:style w:type="paragraph" w:customStyle="1" w:styleId="Default">
    <w:name w:val="Default"/>
    <w:rsid w:val="000A4CF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0A4CFD"/>
    <w:rPr>
      <w:sz w:val="24"/>
      <w:szCs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D71F7"/>
    <w:rPr>
      <w:sz w:val="20"/>
    </w:rPr>
  </w:style>
  <w:style w:type="character" w:customStyle="1" w:styleId="TextvysvetlivkyChar">
    <w:name w:val="Text vysvetlivky Char"/>
    <w:link w:val="Textvysvetlivky"/>
    <w:uiPriority w:val="99"/>
    <w:semiHidden/>
    <w:rsid w:val="00AD71F7"/>
    <w:rPr>
      <w:lang w:val="sk-SK" w:eastAsia="sk-SK"/>
    </w:rPr>
  </w:style>
  <w:style w:type="character" w:styleId="Odkaznavysvetlivku">
    <w:name w:val="endnote reference"/>
    <w:uiPriority w:val="99"/>
    <w:semiHidden/>
    <w:unhideWhenUsed/>
    <w:rsid w:val="00AD71F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620B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4620B"/>
    <w:rPr>
      <w:lang w:val="sk-SK" w:eastAsia="sk-SK"/>
    </w:rPr>
  </w:style>
  <w:style w:type="character" w:styleId="Odkaznapoznmkupodiarou">
    <w:name w:val="footnote reference"/>
    <w:uiPriority w:val="99"/>
    <w:semiHidden/>
    <w:unhideWhenUsed/>
    <w:rsid w:val="0004620B"/>
    <w:rPr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1820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rsid w:val="00677271"/>
    <w:pPr>
      <w:tabs>
        <w:tab w:val="left" w:pos="480"/>
        <w:tab w:val="right" w:leader="dot" w:pos="9062"/>
      </w:tabs>
      <w:ind w:left="426" w:hanging="426"/>
    </w:pPr>
  </w:style>
  <w:style w:type="character" w:styleId="Hypertextovprepojenie">
    <w:name w:val="Hyperlink"/>
    <w:uiPriority w:val="99"/>
    <w:unhideWhenUsed/>
    <w:rsid w:val="00B81820"/>
    <w:rPr>
      <w:color w:val="0563C1"/>
      <w:u w:val="single"/>
    </w:rPr>
  </w:style>
  <w:style w:type="character" w:customStyle="1" w:styleId="Nadpis2Char">
    <w:name w:val="Nadpis 2 Char"/>
    <w:aliases w:val="h2 Char,Normal Heading 2 Char,LetHead2 Char,- 1 Char,2 Char,3 Char,H2 Char,Reset numbering Char"/>
    <w:link w:val="Nadpis2"/>
    <w:rsid w:val="00B81820"/>
    <w:rPr>
      <w:b/>
      <w:caps/>
      <w:color w:val="000066"/>
      <w:sz w:val="24"/>
      <w:szCs w:val="24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180FB4"/>
    <w:pPr>
      <w:tabs>
        <w:tab w:val="left" w:pos="851"/>
        <w:tab w:val="right" w:leader="dot" w:pos="9062"/>
      </w:tabs>
      <w:spacing w:before="60" w:after="60"/>
      <w:ind w:left="805" w:hanging="567"/>
    </w:pPr>
    <w:rPr>
      <w:rFonts w:ascii="Times New Roman Bold" w:hAnsi="Times New Roman Bold"/>
      <w:b/>
      <w:caps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180FB4"/>
    <w:pPr>
      <w:tabs>
        <w:tab w:val="left" w:pos="1021"/>
        <w:tab w:val="right" w:leader="dot" w:pos="9062"/>
      </w:tabs>
      <w:ind w:left="1049" w:hanging="567"/>
    </w:pPr>
    <w:rPr>
      <w:i/>
    </w:rPr>
  </w:style>
  <w:style w:type="character" w:customStyle="1" w:styleId="Nadpis3Char">
    <w:name w:val="Nadpis 3 Char"/>
    <w:aliases w:val="h3 Char,1.2.3. Heading 3 Char,3 bullet Char,b Char,H3 Char,Level 1 - 1 Char"/>
    <w:basedOn w:val="Predvolenpsmoodseku"/>
    <w:link w:val="Nadpis3"/>
    <w:rsid w:val="00E77273"/>
    <w:rPr>
      <w:rFonts w:eastAsiaTheme="majorEastAsia" w:cstheme="majorBidi"/>
      <w:b/>
      <w:color w:val="000066"/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A268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268F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2A268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A268F"/>
    <w:rPr>
      <w:sz w:val="24"/>
      <w:szCs w:val="24"/>
      <w:lang w:val="sk-SK" w:eastAsia="sk-SK"/>
    </w:rPr>
  </w:style>
  <w:style w:type="character" w:styleId="slostrany">
    <w:name w:val="page number"/>
    <w:rsid w:val="002A268F"/>
    <w:rPr>
      <w:rFonts w:ascii="Verdana" w:hAnsi="Verdana"/>
      <w:sz w:val="17"/>
    </w:rPr>
  </w:style>
  <w:style w:type="character" w:customStyle="1" w:styleId="Nadpis4Char">
    <w:name w:val="Nadpis 4 Char"/>
    <w:aliases w:val="h4 Char"/>
    <w:basedOn w:val="Predvolenpsmoodseku"/>
    <w:link w:val="Nadpis4"/>
    <w:rsid w:val="002C46EA"/>
    <w:rPr>
      <w:b/>
      <w:i/>
      <w:color w:val="000066"/>
      <w:sz w:val="22"/>
      <w:lang w:val="sk-SK"/>
    </w:rPr>
  </w:style>
  <w:style w:type="character" w:customStyle="1" w:styleId="Nadpis5Char">
    <w:name w:val="Nadpis 5 Char"/>
    <w:basedOn w:val="Predvolenpsmoodseku"/>
    <w:link w:val="Nadpis5"/>
    <w:rsid w:val="002C46EA"/>
    <w:rPr>
      <w:rFonts w:ascii="Verdana" w:hAnsi="Verdana"/>
      <w:b/>
      <w:i/>
      <w:color w:val="003366"/>
      <w:u w:val="single"/>
      <w:lang w:val="sk-SK"/>
    </w:rPr>
  </w:style>
  <w:style w:type="character" w:customStyle="1" w:styleId="Nadpis6Char">
    <w:name w:val="Nadpis 6 Char"/>
    <w:basedOn w:val="Predvolenpsmoodseku"/>
    <w:link w:val="Nadpis6"/>
    <w:rsid w:val="002C46EA"/>
    <w:rPr>
      <w:rFonts w:ascii="Arial" w:hAnsi="Arial"/>
      <w:i/>
      <w:sz w:val="22"/>
      <w:lang w:val="sk-SK"/>
    </w:rPr>
  </w:style>
  <w:style w:type="character" w:customStyle="1" w:styleId="Nadpis7Char">
    <w:name w:val="Nadpis 7 Char"/>
    <w:basedOn w:val="Predvolenpsmoodseku"/>
    <w:link w:val="Nadpis7"/>
    <w:rsid w:val="002C46EA"/>
    <w:rPr>
      <w:rFonts w:ascii="Verdana" w:hAnsi="Verdana"/>
      <w:lang w:val="sk-SK"/>
    </w:rPr>
  </w:style>
  <w:style w:type="character" w:customStyle="1" w:styleId="Nadpis8Char">
    <w:name w:val="Nadpis 8 Char"/>
    <w:basedOn w:val="Predvolenpsmoodseku"/>
    <w:link w:val="Nadpis8"/>
    <w:rsid w:val="002C46EA"/>
    <w:rPr>
      <w:rFonts w:ascii="Arial" w:hAnsi="Arial"/>
      <w:i/>
      <w:sz w:val="22"/>
      <w:lang w:val="sk-SK"/>
    </w:rPr>
  </w:style>
  <w:style w:type="character" w:customStyle="1" w:styleId="Nadpis9Char">
    <w:name w:val="Nadpis 9 Char"/>
    <w:basedOn w:val="Predvolenpsmoodseku"/>
    <w:link w:val="Nadpis9"/>
    <w:rsid w:val="002C46EA"/>
    <w:rPr>
      <w:rFonts w:ascii="Arial" w:hAnsi="Arial"/>
      <w:i/>
      <w:sz w:val="18"/>
      <w:lang w:val="sk-SK"/>
    </w:rPr>
  </w:style>
  <w:style w:type="paragraph" w:customStyle="1" w:styleId="StyleHeading1">
    <w:name w:val="Style Heading 1"/>
    <w:aliases w:val="h1 + Left:  0 cm First line:  0 cm"/>
    <w:basedOn w:val="Nadpis1"/>
    <w:rsid w:val="002C46EA"/>
    <w:pPr>
      <w:numPr>
        <w:numId w:val="37"/>
      </w:numPr>
    </w:pPr>
    <w:rPr>
      <w:b w:val="0"/>
      <w:bCs/>
      <w:caps w:val="0"/>
      <w:color w:val="000066"/>
    </w:rPr>
  </w:style>
  <w:style w:type="paragraph" w:customStyle="1" w:styleId="Bulletslevel1">
    <w:name w:val="Bullets level 1"/>
    <w:basedOn w:val="Normlny"/>
    <w:link w:val="Bulletslevel1Char"/>
    <w:qFormat/>
    <w:rsid w:val="00180FB4"/>
    <w:pPr>
      <w:spacing w:before="120"/>
      <w:ind w:left="360" w:hanging="360"/>
      <w:jc w:val="left"/>
    </w:pPr>
    <w:rPr>
      <w:rFonts w:ascii="Arial" w:eastAsia="Times" w:hAnsi="Arial"/>
      <w:color w:val="000000"/>
      <w:sz w:val="19"/>
      <w:lang w:val="en-GB" w:eastAsia="sk-SK"/>
    </w:rPr>
  </w:style>
  <w:style w:type="character" w:customStyle="1" w:styleId="Bulletslevel1Char">
    <w:name w:val="Bullets level 1 Char"/>
    <w:link w:val="Bulletslevel1"/>
    <w:rsid w:val="00180FB4"/>
    <w:rPr>
      <w:rFonts w:ascii="Arial" w:eastAsia="Times" w:hAnsi="Arial"/>
      <w:color w:val="000000"/>
      <w:sz w:val="19"/>
      <w:lang w:val="en-GB" w:eastAsia="sk-SK"/>
    </w:rPr>
  </w:style>
  <w:style w:type="paragraph" w:styleId="Nzov">
    <w:name w:val="Title"/>
    <w:basedOn w:val="Normlny"/>
    <w:link w:val="NzovChar"/>
    <w:qFormat/>
    <w:rsid w:val="00180FB4"/>
    <w:pPr>
      <w:jc w:val="center"/>
    </w:pPr>
    <w:rPr>
      <w:rFonts w:ascii="Arial" w:hAnsi="Arial"/>
      <w:b/>
      <w:sz w:val="24"/>
      <w:lang w:val="en-GB"/>
    </w:rPr>
  </w:style>
  <w:style w:type="character" w:customStyle="1" w:styleId="NzovChar">
    <w:name w:val="Názov Char"/>
    <w:basedOn w:val="Predvolenpsmoodseku"/>
    <w:link w:val="Nzov"/>
    <w:rsid w:val="00180FB4"/>
    <w:rPr>
      <w:rFonts w:ascii="Arial" w:hAnsi="Arial"/>
      <w:b/>
      <w:sz w:val="24"/>
      <w:lang w:val="en-GB"/>
    </w:rPr>
  </w:style>
  <w:style w:type="paragraph" w:styleId="Podtitul">
    <w:name w:val="Subtitle"/>
    <w:basedOn w:val="Normlny"/>
    <w:link w:val="PodtitulChar"/>
    <w:qFormat/>
    <w:rsid w:val="00180FB4"/>
    <w:rPr>
      <w:b/>
      <w:lang w:val="en-GB"/>
    </w:rPr>
  </w:style>
  <w:style w:type="character" w:customStyle="1" w:styleId="PodtitulChar">
    <w:name w:val="Podtitul Char"/>
    <w:basedOn w:val="Predvolenpsmoodseku"/>
    <w:link w:val="Podtitul"/>
    <w:rsid w:val="00180FB4"/>
    <w:rPr>
      <w:b/>
      <w:sz w:val="22"/>
      <w:lang w:val="en-GB"/>
    </w:rPr>
  </w:style>
  <w:style w:type="character" w:styleId="Siln">
    <w:name w:val="Strong"/>
    <w:uiPriority w:val="22"/>
    <w:qFormat/>
    <w:rsid w:val="00180FB4"/>
    <w:rPr>
      <w:b/>
      <w:bCs/>
    </w:rPr>
  </w:style>
  <w:style w:type="character" w:styleId="Zvraznenie">
    <w:name w:val="Emphasis"/>
    <w:qFormat/>
    <w:rsid w:val="00180FB4"/>
    <w:rPr>
      <w:i/>
    </w:rPr>
  </w:style>
  <w:style w:type="paragraph" w:styleId="Bezriadkovania">
    <w:name w:val="No Spacing"/>
    <w:uiPriority w:val="1"/>
    <w:qFormat/>
    <w:rsid w:val="00180FB4"/>
    <w:rPr>
      <w:rFonts w:ascii="Calibri" w:eastAsia="Calibri" w:hAnsi="Calibri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180FB4"/>
    <w:pPr>
      <w:ind w:left="720"/>
      <w:contextualSpacing/>
      <w:jc w:val="left"/>
    </w:pPr>
    <w:rPr>
      <w:rFonts w:ascii="Arial" w:hAnsi="Arial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DB55.5883F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5FE7-83B4-4306-9A7D-2A28ED86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2320</Words>
  <Characters>13224</Characters>
  <Application>Microsoft Office Word</Application>
  <DocSecurity>8</DocSecurity>
  <Lines>110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Vzhľadom k tomu, že Žiadosť o platbu č</vt:lpstr>
      <vt:lpstr>Vzhľadom k tomu, že Žiadosť o platbu č</vt:lpstr>
    </vt:vector>
  </TitlesOfParts>
  <Company>PPA</Company>
  <LinksUpToDate>false</LinksUpToDate>
  <CharactersWithSpaces>15513</CharactersWithSpaces>
  <SharedDoc>false</SharedDoc>
  <HLinks>
    <vt:vector size="36" baseType="variant"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_Toc427761009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_Toc427761008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_Toc427761007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_Toc427761006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_Toc427761005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_Toc427760996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Vzhľadom k tomu, že Žiadosť o platbu č</dc:title>
  <dc:subject/>
  <dc:creator>hazucha</dc:creator>
  <cp:keywords/>
  <cp:lastModifiedBy>Hazucha Ján</cp:lastModifiedBy>
  <cp:revision>9</cp:revision>
  <cp:lastPrinted>2015-08-27T13:47:00Z</cp:lastPrinted>
  <dcterms:created xsi:type="dcterms:W3CDTF">2015-08-20T14:50:00Z</dcterms:created>
  <dcterms:modified xsi:type="dcterms:W3CDTF">2015-08-27T13:47:00Z</dcterms:modified>
</cp:coreProperties>
</file>