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0B" w:rsidRPr="00BC660B" w:rsidRDefault="004A1AAB" w:rsidP="00BC660B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ind w:right="-432"/>
        <w:rPr>
          <w:rFonts w:ascii="Times New Roman" w:hAnsi="Times New Roman"/>
          <w:b/>
          <w:color w:val="1F497D"/>
          <w:lang w:val="sk-SK"/>
        </w:rPr>
      </w:pPr>
      <w:bookmarkStart w:id="0" w:name="_GoBack"/>
      <w:bookmarkEnd w:id="0"/>
      <w:r>
        <w:rPr>
          <w:rFonts w:ascii="Times New Roman" w:hAnsi="Times New Roman"/>
          <w:b/>
          <w:color w:val="1F497D"/>
          <w:lang w:val="sk-SK"/>
        </w:rPr>
        <w:t>Príloha č. 3.3</w:t>
      </w:r>
      <w:r w:rsidR="00BC660B" w:rsidRPr="00BC660B">
        <w:rPr>
          <w:rFonts w:ascii="Times New Roman" w:hAnsi="Times New Roman"/>
          <w:b/>
          <w:color w:val="1F497D"/>
          <w:lang w:val="sk-SK"/>
        </w:rPr>
        <w:t xml:space="preserve"> k Výzve na predkladanie žiadostí o NFP SR 2014-2020</w:t>
      </w:r>
      <w:r w:rsidR="00D045F9">
        <w:rPr>
          <w:rFonts w:ascii="Times New Roman" w:hAnsi="Times New Roman"/>
          <w:b/>
          <w:color w:val="1F497D"/>
          <w:lang w:val="sk-SK"/>
        </w:rPr>
        <w:t xml:space="preserve"> </w:t>
      </w:r>
    </w:p>
    <w:p w:rsidR="00BC660B" w:rsidRDefault="003353EE" w:rsidP="00BC660B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ind w:right="-432"/>
        <w:rPr>
          <w:rFonts w:ascii="Times New Roman" w:hAnsi="Times New Roman" w:cs="Times New Roman"/>
          <w:b/>
          <w:bCs/>
          <w:sz w:val="28"/>
          <w:szCs w:val="22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2"/>
          <w:lang w:val="sk-SK"/>
        </w:rPr>
        <w:t xml:space="preserve"> </w:t>
      </w:r>
    </w:p>
    <w:p w:rsidR="009A4F0D" w:rsidRPr="00D55C2D" w:rsidRDefault="009A4F0D" w:rsidP="00BC660B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sz w:val="28"/>
          <w:szCs w:val="22"/>
          <w:lang w:val="sk-SK"/>
        </w:rPr>
      </w:pPr>
      <w:r w:rsidRPr="00D55C2D">
        <w:rPr>
          <w:rFonts w:ascii="Times New Roman" w:hAnsi="Times New Roman" w:cs="Times New Roman"/>
          <w:b/>
          <w:bCs/>
          <w:sz w:val="28"/>
          <w:szCs w:val="22"/>
          <w:lang w:val="sk-SK"/>
        </w:rPr>
        <w:t xml:space="preserve">Schéma štátnej pomoci na podporu </w:t>
      </w:r>
      <w:r w:rsidR="00FF3561">
        <w:rPr>
          <w:rFonts w:ascii="Times New Roman" w:hAnsi="Times New Roman" w:cs="Times New Roman"/>
          <w:b/>
          <w:bCs/>
          <w:sz w:val="28"/>
          <w:szCs w:val="22"/>
          <w:lang w:val="sk-SK"/>
        </w:rPr>
        <w:t>investícií do infraštruktúry súvisiacej s </w:t>
      </w:r>
      <w:r w:rsidR="00572755">
        <w:rPr>
          <w:rFonts w:ascii="Times New Roman" w:hAnsi="Times New Roman" w:cs="Times New Roman"/>
          <w:b/>
          <w:bCs/>
          <w:sz w:val="28"/>
          <w:szCs w:val="22"/>
          <w:lang w:val="sk-SK"/>
        </w:rPr>
        <w:t>roz</w:t>
      </w:r>
      <w:r w:rsidR="00FF3561">
        <w:rPr>
          <w:rFonts w:ascii="Times New Roman" w:hAnsi="Times New Roman" w:cs="Times New Roman"/>
          <w:b/>
          <w:bCs/>
          <w:sz w:val="28"/>
          <w:szCs w:val="22"/>
          <w:lang w:val="sk-SK"/>
        </w:rPr>
        <w:t>vojom, modernizáciou alebo/a prispôsobením lesného hospodárstva – investície týkajúce sa infraštruktúry a prístupu k lesnej pôde</w:t>
      </w:r>
      <w:r w:rsidR="00E54799">
        <w:rPr>
          <w:rFonts w:ascii="Times New Roman" w:hAnsi="Times New Roman" w:cs="Times New Roman"/>
          <w:b/>
          <w:bCs/>
          <w:sz w:val="28"/>
          <w:szCs w:val="22"/>
          <w:lang w:val="sk-SK"/>
        </w:rPr>
        <w:t xml:space="preserve"> </w:t>
      </w:r>
      <w:r w:rsidR="00FF3561">
        <w:rPr>
          <w:rFonts w:ascii="Times New Roman" w:hAnsi="Times New Roman" w:cs="Times New Roman"/>
          <w:b/>
          <w:bCs/>
          <w:sz w:val="28"/>
          <w:szCs w:val="22"/>
          <w:lang w:val="sk-SK"/>
        </w:rPr>
        <w:t>(podopatrenie 4</w:t>
      </w:r>
      <w:r w:rsidR="00E61F39">
        <w:rPr>
          <w:rFonts w:ascii="Times New Roman" w:hAnsi="Times New Roman" w:cs="Times New Roman"/>
          <w:b/>
          <w:bCs/>
          <w:sz w:val="28"/>
          <w:szCs w:val="22"/>
          <w:lang w:val="sk-SK"/>
        </w:rPr>
        <w:t>.3</w:t>
      </w:r>
      <w:r w:rsidRPr="00D55C2D">
        <w:rPr>
          <w:rFonts w:ascii="Times New Roman" w:hAnsi="Times New Roman" w:cs="Times New Roman"/>
          <w:b/>
          <w:bCs/>
          <w:sz w:val="28"/>
          <w:szCs w:val="22"/>
          <w:lang w:val="sk-SK"/>
        </w:rPr>
        <w:t xml:space="preserve"> P</w:t>
      </w:r>
      <w:r w:rsidR="00CE68B9">
        <w:rPr>
          <w:rFonts w:ascii="Times New Roman" w:hAnsi="Times New Roman" w:cs="Times New Roman"/>
          <w:b/>
          <w:bCs/>
          <w:sz w:val="28"/>
          <w:szCs w:val="22"/>
          <w:lang w:val="sk-SK"/>
        </w:rPr>
        <w:t>rog</w:t>
      </w:r>
      <w:r w:rsidR="00E61F39">
        <w:rPr>
          <w:rFonts w:ascii="Times New Roman" w:hAnsi="Times New Roman" w:cs="Times New Roman"/>
          <w:b/>
          <w:bCs/>
          <w:sz w:val="28"/>
          <w:szCs w:val="22"/>
          <w:lang w:val="sk-SK"/>
        </w:rPr>
        <w:t>ramu rozvoja vidieka SR 2014 –</w:t>
      </w:r>
      <w:r w:rsidR="00CE68B9">
        <w:rPr>
          <w:rFonts w:ascii="Times New Roman" w:hAnsi="Times New Roman" w:cs="Times New Roman"/>
          <w:b/>
          <w:bCs/>
          <w:sz w:val="28"/>
          <w:szCs w:val="22"/>
          <w:lang w:val="sk-SK"/>
        </w:rPr>
        <w:t>2020</w:t>
      </w:r>
      <w:r w:rsidRPr="00D55C2D">
        <w:rPr>
          <w:rFonts w:ascii="Times New Roman" w:hAnsi="Times New Roman" w:cs="Times New Roman"/>
          <w:b/>
          <w:bCs/>
          <w:sz w:val="28"/>
          <w:szCs w:val="22"/>
          <w:lang w:val="sk-SK"/>
        </w:rPr>
        <w:t xml:space="preserve">) </w:t>
      </w:r>
    </w:p>
    <w:p w:rsidR="009A4F0D" w:rsidRPr="009A4F0D" w:rsidRDefault="009A4F0D" w:rsidP="009A4F0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</w:p>
    <w:p w:rsidR="009A4F0D" w:rsidRPr="009A4F0D" w:rsidRDefault="009A4F0D" w:rsidP="009A4F0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</w:p>
    <w:p w:rsidR="009A4F0D" w:rsidRPr="009A4F0D" w:rsidRDefault="009A4F0D" w:rsidP="009A4F0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9A4F0D">
        <w:rPr>
          <w:rFonts w:ascii="Times New Roman" w:hAnsi="Times New Roman" w:cs="Times New Roman"/>
          <w:sz w:val="22"/>
          <w:szCs w:val="22"/>
          <w:u w:val="single"/>
          <w:lang w:val="sk-SK"/>
        </w:rPr>
        <w:t>Číslo schémy: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5A5061">
        <w:rPr>
          <w:rFonts w:ascii="Times New Roman" w:hAnsi="Times New Roman" w:cs="Times New Roman"/>
          <w:sz w:val="22"/>
          <w:szCs w:val="22"/>
          <w:lang w:val="sk-SK"/>
        </w:rPr>
        <w:t>...................</w:t>
      </w:r>
    </w:p>
    <w:p w:rsidR="009A4F0D" w:rsidRPr="009A4F0D" w:rsidRDefault="009A4F0D" w:rsidP="009A4F0D">
      <w:pPr>
        <w:widowControl w:val="0"/>
        <w:tabs>
          <w:tab w:val="left" w:pos="36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7A1697" w:rsidRPr="009A4F0D" w:rsidRDefault="009A4F0D" w:rsidP="007A1697">
      <w:pPr>
        <w:widowControl w:val="0"/>
        <w:tabs>
          <w:tab w:val="left" w:pos="36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A69F2">
        <w:rPr>
          <w:rFonts w:ascii="Times New Roman" w:hAnsi="Times New Roman" w:cs="Times New Roman"/>
          <w:sz w:val="22"/>
          <w:szCs w:val="22"/>
          <w:lang w:val="sk-SK"/>
        </w:rPr>
        <w:t xml:space="preserve">Schéma </w:t>
      </w:r>
      <w:r w:rsidR="000557D3" w:rsidRPr="00DA69F2">
        <w:rPr>
          <w:rFonts w:ascii="Times New Roman" w:hAnsi="Times New Roman" w:cs="Times New Roman"/>
          <w:sz w:val="22"/>
          <w:szCs w:val="22"/>
          <w:lang w:val="sk-SK"/>
        </w:rPr>
        <w:t xml:space="preserve">štátnej </w:t>
      </w:r>
      <w:r w:rsidR="0071181A" w:rsidRPr="00DA69F2">
        <w:rPr>
          <w:rFonts w:ascii="Times New Roman" w:hAnsi="Times New Roman" w:cs="Times New Roman"/>
          <w:sz w:val="22"/>
          <w:szCs w:val="22"/>
          <w:lang w:val="sk-SK"/>
        </w:rPr>
        <w:t>pomoci</w:t>
      </w:r>
      <w:r w:rsidR="0071181A">
        <w:rPr>
          <w:rFonts w:ascii="Times New Roman" w:hAnsi="Times New Roman" w:cs="Times New Roman"/>
          <w:sz w:val="22"/>
          <w:szCs w:val="22"/>
          <w:lang w:val="sk-SK"/>
        </w:rPr>
        <w:t xml:space="preserve"> na 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>podpor</w:t>
      </w:r>
      <w:r w:rsidR="0071181A">
        <w:rPr>
          <w:rFonts w:ascii="Times New Roman" w:hAnsi="Times New Roman" w:cs="Times New Roman"/>
          <w:sz w:val="22"/>
          <w:szCs w:val="22"/>
          <w:lang w:val="sk-SK"/>
        </w:rPr>
        <w:t>u</w:t>
      </w:r>
      <w:r w:rsidR="00FF3561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3561" w:rsidRPr="00FF3561">
        <w:rPr>
          <w:rFonts w:ascii="Times New Roman" w:hAnsi="Times New Roman" w:cs="Times New Roman"/>
          <w:bCs/>
          <w:sz w:val="22"/>
          <w:szCs w:val="22"/>
          <w:lang w:val="sk-SK"/>
        </w:rPr>
        <w:t>investícií do infraštruktúry súvisiacej s vývojom, modernizáciou alebo/a prispôsobením poľnohospodárstva a lesného hospodárstva – investície týkajúce sa infraštruktúry a prístupu k lesnej pôde</w:t>
      </w:r>
      <w:r w:rsidR="00FF3561" w:rsidRPr="00FF3561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(ďalej len „schéma“) </w:t>
      </w:r>
      <w:r w:rsidR="007A1697" w:rsidRPr="009A4F0D">
        <w:rPr>
          <w:rFonts w:ascii="Times New Roman" w:hAnsi="Times New Roman" w:cs="Times New Roman"/>
          <w:sz w:val="22"/>
          <w:szCs w:val="22"/>
          <w:lang w:val="sk-SK"/>
        </w:rPr>
        <w:t>je vypracovaná v súlade s nariadením Komisie (E</w:t>
      </w:r>
      <w:r w:rsidR="007A1697">
        <w:rPr>
          <w:rFonts w:ascii="Times New Roman" w:hAnsi="Times New Roman" w:cs="Times New Roman"/>
          <w:sz w:val="22"/>
          <w:szCs w:val="22"/>
          <w:lang w:val="sk-SK"/>
        </w:rPr>
        <w:t>Ú</w:t>
      </w:r>
      <w:r w:rsidR="007A1697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) č. </w:t>
      </w:r>
      <w:r w:rsidR="007A1697">
        <w:rPr>
          <w:rFonts w:ascii="Times New Roman" w:hAnsi="Times New Roman" w:cs="Times New Roman"/>
          <w:sz w:val="22"/>
          <w:szCs w:val="22"/>
          <w:lang w:val="sk-SK"/>
        </w:rPr>
        <w:t>702</w:t>
      </w:r>
      <w:r w:rsidR="007A1697" w:rsidRPr="009A4F0D">
        <w:rPr>
          <w:rFonts w:ascii="Times New Roman" w:hAnsi="Times New Roman" w:cs="Times New Roman"/>
          <w:sz w:val="22"/>
          <w:szCs w:val="22"/>
          <w:lang w:val="sk-SK"/>
        </w:rPr>
        <w:t>/20</w:t>
      </w:r>
      <w:r w:rsidR="007A1697">
        <w:rPr>
          <w:rFonts w:ascii="Times New Roman" w:hAnsi="Times New Roman" w:cs="Times New Roman"/>
          <w:sz w:val="22"/>
          <w:szCs w:val="22"/>
          <w:lang w:val="sk-SK"/>
        </w:rPr>
        <w:t>14 z 25. júna 2014, ktorým sa určité kategórie</w:t>
      </w:r>
      <w:r w:rsidR="007A1697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pomoci </w:t>
      </w:r>
      <w:r w:rsidR="007A1697">
        <w:rPr>
          <w:rFonts w:ascii="Times New Roman" w:hAnsi="Times New Roman" w:cs="Times New Roman"/>
          <w:sz w:val="22"/>
          <w:szCs w:val="22"/>
          <w:lang w:val="sk-SK"/>
        </w:rPr>
        <w:t>v odvetví poľnohospodárstva a lesného hospodárstva a </w:t>
      </w:r>
      <w:r w:rsidR="007A1697" w:rsidRPr="00DB0A50">
        <w:rPr>
          <w:rFonts w:ascii="Times New Roman" w:hAnsi="Times New Roman" w:cs="Times New Roman"/>
          <w:sz w:val="22"/>
          <w:szCs w:val="22"/>
          <w:lang w:val="sk-SK"/>
        </w:rPr>
        <w:t>vo vidieckych oblastiach vyhlasujú za zlučiteľné s vnútorným trhom pri uplatňovaní článkov 107 a 108 Zmluvy o fungovaní EÚ (ďalej len „ZFEÚ“), zverejneným</w:t>
      </w:r>
      <w:r w:rsidR="007A1697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v Úradnom vestníku EÚ pod č. Ú. v. L </w:t>
      </w:r>
      <w:r w:rsidR="007A1697">
        <w:rPr>
          <w:rFonts w:ascii="Times New Roman" w:hAnsi="Times New Roman" w:cs="Times New Roman"/>
          <w:sz w:val="22"/>
          <w:szCs w:val="22"/>
          <w:lang w:val="sk-SK"/>
        </w:rPr>
        <w:t>193</w:t>
      </w:r>
      <w:r w:rsidR="007A1697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7A1697">
        <w:rPr>
          <w:rFonts w:ascii="Times New Roman" w:hAnsi="Times New Roman" w:cs="Times New Roman"/>
          <w:sz w:val="22"/>
          <w:szCs w:val="22"/>
          <w:lang w:val="sk-SK"/>
        </w:rPr>
        <w:t>01</w:t>
      </w:r>
      <w:r w:rsidR="007A1697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 w:rsidR="007A1697">
        <w:rPr>
          <w:rFonts w:ascii="Times New Roman" w:hAnsi="Times New Roman" w:cs="Times New Roman"/>
          <w:sz w:val="22"/>
          <w:szCs w:val="22"/>
          <w:lang w:val="sk-SK"/>
        </w:rPr>
        <w:t>07. 2</w:t>
      </w:r>
      <w:r w:rsidR="007A1697" w:rsidRPr="009A4F0D">
        <w:rPr>
          <w:rFonts w:ascii="Times New Roman" w:hAnsi="Times New Roman" w:cs="Times New Roman"/>
          <w:sz w:val="22"/>
          <w:szCs w:val="22"/>
          <w:lang w:val="sk-SK"/>
        </w:rPr>
        <w:t>0</w:t>
      </w:r>
      <w:r w:rsidR="007A1697">
        <w:rPr>
          <w:rFonts w:ascii="Times New Roman" w:hAnsi="Times New Roman" w:cs="Times New Roman"/>
          <w:sz w:val="22"/>
          <w:szCs w:val="22"/>
          <w:lang w:val="sk-SK"/>
        </w:rPr>
        <w:t>14</w:t>
      </w:r>
      <w:r w:rsidR="007A1697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</w:p>
    <w:p w:rsidR="007A1697" w:rsidRDefault="007A1697" w:rsidP="009A4F0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9A4F0D" w:rsidRPr="009A4F0D" w:rsidRDefault="007A1697" w:rsidP="007A1697">
      <w:pPr>
        <w:widowControl w:val="0"/>
        <w:tabs>
          <w:tab w:val="left" w:pos="36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Schéma 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vychádza z kontextu Programu rozvoja vidieka Slovenskej repu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>bliky na programové obdobie 2014 – 2020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(ďalej len „PRV“),</w:t>
      </w:r>
      <w:r w:rsidR="00693904">
        <w:rPr>
          <w:rFonts w:ascii="Times New Roman" w:hAnsi="Times New Roman" w:cs="Times New Roman"/>
          <w:sz w:val="22"/>
          <w:szCs w:val="22"/>
          <w:lang w:val="sk-SK"/>
        </w:rPr>
        <w:t xml:space="preserve"> podopatrenia 4.3, ktoré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je v súlade  s nariadením 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>EP a Rady (EÚ) č. 1305/2013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z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>o 17. decembra 2013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o podpore rozvoja vidieka prostredníctvom Európskeho poľnohospodárskeho fond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>u</w:t>
      </w:r>
      <w:r w:rsidR="00F859CE">
        <w:rPr>
          <w:rFonts w:ascii="Times New Roman" w:hAnsi="Times New Roman" w:cs="Times New Roman"/>
          <w:sz w:val="22"/>
          <w:szCs w:val="22"/>
          <w:lang w:val="sk-SK"/>
        </w:rPr>
        <w:t xml:space="preserve"> pre rozvoj vidieka (Ú. v. L 347, 20. 12. 2013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) a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 xml:space="preserve"> delegovaným nariadením </w:t>
      </w:r>
      <w:r w:rsidR="00E61F39">
        <w:rPr>
          <w:rFonts w:ascii="Times New Roman" w:hAnsi="Times New Roman" w:cs="Times New Roman"/>
          <w:sz w:val="22"/>
          <w:szCs w:val="22"/>
          <w:lang w:val="sk-SK"/>
        </w:rPr>
        <w:t>Komisie (EÚ) č. 807/2014 z 11. m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>arca 2014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, ktorým sa 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>dopĺňa nariadenia EP a Rady (EÚ) č. 1305/2013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o podpore rozvoja vidieka prostredníctvom Európskeho poľnohospodárskeho fond</w:t>
      </w:r>
      <w:r w:rsidR="00964382">
        <w:rPr>
          <w:rFonts w:ascii="Times New Roman" w:hAnsi="Times New Roman" w:cs="Times New Roman"/>
          <w:sz w:val="22"/>
          <w:szCs w:val="22"/>
          <w:lang w:val="sk-SK"/>
        </w:rPr>
        <w:t>u pre rozvoj vidieka (EPFRV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)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 xml:space="preserve"> a ktorým sa zavádzajú prechodné ustanovenia (Ú. v. L 227, 31. 07. 2014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).</w:t>
      </w:r>
    </w:p>
    <w:p w:rsidR="000557D3" w:rsidRPr="009A4F0D" w:rsidRDefault="000557D3" w:rsidP="009A4F0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9A4F0D" w:rsidRPr="00B96DAD" w:rsidRDefault="009A4F0D" w:rsidP="00C446DE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426" w:right="-432"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B96DAD">
        <w:rPr>
          <w:rFonts w:ascii="Times New Roman" w:hAnsi="Times New Roman" w:cs="Times New Roman"/>
          <w:b/>
          <w:bCs/>
          <w:sz w:val="22"/>
          <w:szCs w:val="22"/>
          <w:lang w:val="sk-SK"/>
        </w:rPr>
        <w:t>Preambula</w:t>
      </w:r>
    </w:p>
    <w:p w:rsidR="00FF3561" w:rsidRPr="00FF3561" w:rsidRDefault="004A2F1D" w:rsidP="00E51D45">
      <w:pPr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FF3561">
        <w:rPr>
          <w:rFonts w:ascii="Times New Roman" w:hAnsi="Times New Roman" w:cs="Times New Roman"/>
          <w:b/>
          <w:sz w:val="22"/>
          <w:szCs w:val="22"/>
          <w:lang w:val="sk-SK"/>
        </w:rPr>
        <w:t xml:space="preserve">A.1 </w:t>
      </w:r>
      <w:r w:rsidR="00E51D45">
        <w:rPr>
          <w:rFonts w:ascii="Times New Roman" w:hAnsi="Times New Roman" w:cs="Times New Roman"/>
          <w:sz w:val="22"/>
          <w:szCs w:val="22"/>
          <w:lang w:val="sk-SK"/>
        </w:rPr>
        <w:t xml:space="preserve">Jedným zo základných predpokladov efektívneho </w:t>
      </w:r>
      <w:r w:rsidR="00FF3561" w:rsidRPr="00FF3561">
        <w:rPr>
          <w:rFonts w:ascii="Times New Roman" w:hAnsi="Times New Roman" w:cs="Times New Roman"/>
          <w:sz w:val="22"/>
          <w:szCs w:val="22"/>
          <w:lang w:val="sk-SK"/>
        </w:rPr>
        <w:t xml:space="preserve">obhospodarovania lesov je racionálne sprístupnenie </w:t>
      </w:r>
      <w:r w:rsidR="00E51D45">
        <w:rPr>
          <w:rFonts w:ascii="Times New Roman" w:hAnsi="Times New Roman" w:cs="Times New Roman"/>
          <w:sz w:val="22"/>
          <w:szCs w:val="22"/>
          <w:lang w:val="sk-SK"/>
        </w:rPr>
        <w:t xml:space="preserve">lesnej pôdy </w:t>
      </w:r>
      <w:r w:rsidR="00FF3561" w:rsidRPr="00FF3561">
        <w:rPr>
          <w:rFonts w:ascii="Times New Roman" w:hAnsi="Times New Roman" w:cs="Times New Roman"/>
          <w:sz w:val="22"/>
          <w:szCs w:val="22"/>
          <w:lang w:val="sk-SK"/>
        </w:rPr>
        <w:t xml:space="preserve">lesnou dopravnou sieťou. Na optimálne sprístupnenie lesov v rámci </w:t>
      </w:r>
      <w:r w:rsidR="00E51D45">
        <w:rPr>
          <w:rFonts w:ascii="Times New Roman" w:hAnsi="Times New Roman" w:cs="Times New Roman"/>
          <w:sz w:val="22"/>
          <w:szCs w:val="22"/>
          <w:lang w:val="sk-SK"/>
        </w:rPr>
        <w:t>SR</w:t>
      </w:r>
      <w:r w:rsidR="00FF3561" w:rsidRPr="00FF3561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E51D45">
        <w:rPr>
          <w:rFonts w:ascii="Times New Roman" w:hAnsi="Times New Roman" w:cs="Times New Roman"/>
          <w:sz w:val="22"/>
          <w:szCs w:val="22"/>
          <w:lang w:val="sk-SK"/>
        </w:rPr>
        <w:t>je potrebné dobudovanie</w:t>
      </w:r>
      <w:r w:rsidR="00FF3561" w:rsidRPr="00FF3561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E51D45">
        <w:rPr>
          <w:rFonts w:ascii="Times New Roman" w:hAnsi="Times New Roman" w:cs="Times New Roman"/>
          <w:sz w:val="22"/>
          <w:szCs w:val="22"/>
          <w:lang w:val="sk-SK"/>
        </w:rPr>
        <w:t>resp.</w:t>
      </w:r>
      <w:r w:rsidR="00FF3561" w:rsidRPr="00FF3561">
        <w:rPr>
          <w:rFonts w:ascii="Times New Roman" w:hAnsi="Times New Roman" w:cs="Times New Roman"/>
          <w:sz w:val="22"/>
          <w:szCs w:val="22"/>
          <w:lang w:val="sk-SK"/>
        </w:rPr>
        <w:t xml:space="preserve"> zrekonštruova</w:t>
      </w:r>
      <w:r w:rsidR="00E51D45">
        <w:rPr>
          <w:rFonts w:ascii="Times New Roman" w:hAnsi="Times New Roman" w:cs="Times New Roman"/>
          <w:sz w:val="22"/>
          <w:szCs w:val="22"/>
          <w:lang w:val="sk-SK"/>
        </w:rPr>
        <w:t>nie približne</w:t>
      </w:r>
      <w:r w:rsidR="00FF3561" w:rsidRPr="00FF3561">
        <w:rPr>
          <w:rFonts w:ascii="Times New Roman" w:hAnsi="Times New Roman" w:cs="Times New Roman"/>
          <w:sz w:val="22"/>
          <w:szCs w:val="22"/>
          <w:lang w:val="sk-SK"/>
        </w:rPr>
        <w:t xml:space="preserve"> 3 000 – 5 000 km lesných ciest kategórie 1L, 2L /pevn</w:t>
      </w:r>
      <w:r w:rsidR="00E51D45">
        <w:rPr>
          <w:rFonts w:ascii="Times New Roman" w:hAnsi="Times New Roman" w:cs="Times New Roman"/>
          <w:sz w:val="22"/>
          <w:szCs w:val="22"/>
          <w:lang w:val="sk-SK"/>
        </w:rPr>
        <w:t>ých odvozných ciest/ ako aj 3L.</w:t>
      </w:r>
      <w:r w:rsidR="00FF3561" w:rsidRPr="00FF3561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E51D45">
        <w:rPr>
          <w:rFonts w:ascii="Times New Roman" w:hAnsi="Times New Roman" w:cs="Times New Roman"/>
          <w:sz w:val="22"/>
          <w:szCs w:val="22"/>
          <w:lang w:val="sk-SK"/>
        </w:rPr>
        <w:t>S</w:t>
      </w:r>
      <w:r w:rsidR="00FF3561" w:rsidRPr="00FF3561">
        <w:rPr>
          <w:rFonts w:ascii="Times New Roman" w:hAnsi="Times New Roman" w:cs="Times New Roman"/>
          <w:sz w:val="22"/>
          <w:szCs w:val="22"/>
          <w:lang w:val="sk-SK"/>
        </w:rPr>
        <w:t xml:space="preserve">prístupňovanie lesov predstavuje najvyššiu prioritu lesného hospodárstva. Pri sprístupňovaní horských lesov sa odporúča postupovať </w:t>
      </w:r>
      <w:r w:rsidR="00E51D45">
        <w:rPr>
          <w:rFonts w:ascii="Times New Roman" w:hAnsi="Times New Roman" w:cs="Times New Roman"/>
          <w:sz w:val="22"/>
          <w:szCs w:val="22"/>
          <w:lang w:val="sk-SK"/>
        </w:rPr>
        <w:t xml:space="preserve">diferencovane </w:t>
      </w:r>
      <w:r w:rsidR="00FF3561" w:rsidRPr="00FF3561">
        <w:rPr>
          <w:rFonts w:ascii="Times New Roman" w:hAnsi="Times New Roman" w:cs="Times New Roman"/>
          <w:sz w:val="22"/>
          <w:szCs w:val="22"/>
          <w:lang w:val="sk-SK"/>
        </w:rPr>
        <w:t xml:space="preserve">podľa kategórií lesov s tým, že v hospodárskych lesoch sa uvažuje s optimálnou hustotou do 20 - 25 m.ha-1 kategórie 1L a 2L a pre ochranné lesy sa odporúča hustota 7 – 14 m.ha-1 lesných ciest. Zlepšenie dopravnej infraštruktúry v lesoch výrazne prispeje k </w:t>
      </w:r>
      <w:r w:rsidR="00E51D45">
        <w:rPr>
          <w:rFonts w:ascii="Times New Roman" w:hAnsi="Times New Roman" w:cs="Times New Roman"/>
          <w:sz w:val="22"/>
          <w:szCs w:val="22"/>
          <w:lang w:val="sk-SK"/>
        </w:rPr>
        <w:t>zlepšeniu</w:t>
      </w:r>
      <w:r w:rsidR="00FF3561" w:rsidRPr="00FF3561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65C95">
        <w:rPr>
          <w:rFonts w:ascii="Times New Roman" w:hAnsi="Times New Roman" w:cs="Times New Roman"/>
          <w:sz w:val="22"/>
          <w:szCs w:val="22"/>
          <w:lang w:val="sk-SK"/>
        </w:rPr>
        <w:t>multifunkčných aspektov lesa</w:t>
      </w:r>
      <w:r w:rsidR="00FF3561" w:rsidRPr="00FF3561">
        <w:rPr>
          <w:rFonts w:ascii="Times New Roman" w:hAnsi="Times New Roman" w:cs="Times New Roman"/>
          <w:sz w:val="22"/>
          <w:szCs w:val="22"/>
          <w:lang w:val="sk-SK"/>
        </w:rPr>
        <w:t>. V rámci tejto operácie sú oprávnené tie činnosti, ktoré sa týkajú infraštruktúry súvisiacej s výstavbou, dostavbou, prestavbou a rekonštrukciou lesných ciest a prístupu k lesnej pôde.</w:t>
      </w:r>
    </w:p>
    <w:p w:rsidR="009A4F0D" w:rsidRDefault="004A2F1D" w:rsidP="00E51D45">
      <w:pPr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A.2 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Predmetom schémy je </w:t>
      </w:r>
      <w:r w:rsidR="00737501">
        <w:rPr>
          <w:rFonts w:ascii="Times New Roman" w:hAnsi="Times New Roman" w:cs="Times New Roman"/>
          <w:sz w:val="22"/>
          <w:szCs w:val="22"/>
          <w:lang w:val="sk-SK"/>
        </w:rPr>
        <w:t xml:space="preserve">preto 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poskytovanie štátnej pomoci (ďalej len „pomoc“), formou  nenávratného finančného príspevku</w:t>
      </w:r>
      <w:r w:rsidR="00737501">
        <w:rPr>
          <w:rFonts w:ascii="Times New Roman" w:hAnsi="Times New Roman" w:cs="Times New Roman"/>
          <w:sz w:val="22"/>
          <w:szCs w:val="22"/>
          <w:lang w:val="sk-SK"/>
        </w:rPr>
        <w:t xml:space="preserve"> (ďalej len „NFP“)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z EPFRV a</w:t>
      </w:r>
      <w:r w:rsidR="0035162E">
        <w:rPr>
          <w:rFonts w:ascii="Times New Roman" w:hAnsi="Times New Roman" w:cs="Times New Roman"/>
          <w:sz w:val="22"/>
          <w:szCs w:val="22"/>
          <w:lang w:val="sk-SK"/>
        </w:rPr>
        <w:t xml:space="preserve"> zo 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štátneho rozpočtu, na financovanie</w:t>
      </w:r>
      <w:r w:rsidR="001A79B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41244" w:rsidRPr="001A79BD">
        <w:rPr>
          <w:rFonts w:ascii="Times New Roman" w:hAnsi="Times New Roman" w:cs="Times New Roman"/>
          <w:sz w:val="22"/>
          <w:szCs w:val="22"/>
          <w:lang w:val="sk-SK"/>
        </w:rPr>
        <w:t>projektov</w:t>
      </w:r>
      <w:r w:rsidR="00E51D45">
        <w:rPr>
          <w:rFonts w:ascii="Times New Roman" w:hAnsi="Times New Roman" w:cs="Times New Roman"/>
          <w:sz w:val="22"/>
          <w:szCs w:val="22"/>
          <w:lang w:val="sk-SK"/>
        </w:rPr>
        <w:t>, zameraných</w:t>
      </w:r>
      <w:r w:rsidR="00D41244" w:rsidRPr="001A79B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1A79BD">
        <w:rPr>
          <w:rFonts w:ascii="Times New Roman" w:hAnsi="Times New Roman" w:cs="Times New Roman"/>
          <w:sz w:val="22"/>
          <w:szCs w:val="22"/>
          <w:lang w:val="sk-SK"/>
        </w:rPr>
        <w:t xml:space="preserve">na </w:t>
      </w:r>
      <w:r w:rsidR="00E51D45">
        <w:rPr>
          <w:rFonts w:ascii="Times New Roman" w:hAnsi="Times New Roman" w:cs="Times New Roman"/>
          <w:sz w:val="22"/>
          <w:szCs w:val="22"/>
          <w:lang w:val="sk-SK"/>
        </w:rPr>
        <w:t>podporu investícií, týkajúcich sa infraštruktúry a prístupu k lesnej pôde.</w:t>
      </w:r>
      <w:r w:rsidR="00E51D45" w:rsidRPr="00FF3561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0557D3" w:rsidRPr="009A4F0D" w:rsidRDefault="000557D3" w:rsidP="00737501">
      <w:pPr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</w:p>
    <w:p w:rsidR="001A79BD" w:rsidRPr="001A79BD" w:rsidRDefault="009A4F0D" w:rsidP="00C446DE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426" w:right="-489"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1A79BD">
        <w:rPr>
          <w:rFonts w:ascii="Times New Roman" w:hAnsi="Times New Roman" w:cs="Times New Roman"/>
          <w:b/>
          <w:bCs/>
          <w:sz w:val="22"/>
          <w:szCs w:val="22"/>
          <w:lang w:val="sk-SK"/>
        </w:rPr>
        <w:t>Právny základ</w:t>
      </w:r>
    </w:p>
    <w:p w:rsidR="001A79BD" w:rsidRPr="009A4F0D" w:rsidRDefault="004A2F1D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B.1 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Právnym základom pre poskytnutie pomoci sú:</w:t>
      </w:r>
    </w:p>
    <w:p w:rsidR="00693904" w:rsidRPr="002C0666" w:rsidRDefault="00693904" w:rsidP="00693904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sz w:val="22"/>
          <w:szCs w:val="22"/>
          <w:lang w:val="sk-SK"/>
        </w:rPr>
        <w:t>Zákon č. 231/1999 Z. z. o štátnej pomoci v znení neskorších predpisov (ďalej len „zákon o štátnej pomoci“);</w:t>
      </w:r>
    </w:p>
    <w:p w:rsidR="00693904" w:rsidRPr="002C0666" w:rsidRDefault="00693904" w:rsidP="00693904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Zákon </w:t>
      </w:r>
      <w:r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č. 292/2014 Z. z. o príspevku poskytovanom z európskych štrukturálnych </w:t>
      </w:r>
      <w:r w:rsidRPr="002C0666">
        <w:rPr>
          <w:rFonts w:ascii="Times New Roman" w:hAnsi="Times New Roman" w:cs="Times New Roman"/>
          <w:lang w:val="sk-SK"/>
        </w:rPr>
        <w:t>a investičných fondov a o zmene a doplnení niektorých zákonov (ďalej len „zákon o EŠIF“).</w:t>
      </w:r>
    </w:p>
    <w:p w:rsidR="00693904" w:rsidRPr="002C0666" w:rsidRDefault="00693904" w:rsidP="00693904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lang w:val="sk-SK"/>
        </w:rPr>
      </w:pPr>
      <w:r w:rsidRPr="002C0666">
        <w:rPr>
          <w:rFonts w:ascii="Times New Roman" w:hAnsi="Times New Roman" w:cs="Times New Roman"/>
          <w:lang w:val="sk-SK"/>
        </w:rPr>
        <w:t>Zákon č. 326/2005 Z. z. o lesoch v znení neskorších predpis</w:t>
      </w:r>
      <w:r>
        <w:rPr>
          <w:rFonts w:ascii="Times New Roman" w:hAnsi="Times New Roman" w:cs="Times New Roman"/>
          <w:lang w:val="sk-SK"/>
        </w:rPr>
        <w:t xml:space="preserve">ov (ďalej len „zákon </w:t>
      </w:r>
      <w:r>
        <w:rPr>
          <w:rFonts w:ascii="Times New Roman" w:hAnsi="Times New Roman" w:cs="Times New Roman"/>
          <w:lang w:val="sk-SK"/>
        </w:rPr>
        <w:lastRenderedPageBreak/>
        <w:t>o lesoch“);</w:t>
      </w:r>
    </w:p>
    <w:p w:rsidR="001A79BD" w:rsidRPr="002C0666" w:rsidRDefault="009A39B2" w:rsidP="00C446DE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Vykonávacie rozhodnutie Komisie z 13.02.2015, ktorým sa schvaľuje program rozvoja vidieka </w:t>
      </w:r>
      <w:r w:rsidRPr="002C0666">
        <w:rPr>
          <w:rFonts w:ascii="Times New Roman" w:hAnsi="Times New Roman" w:cs="Times New Roman"/>
          <w:sz w:val="22"/>
          <w:szCs w:val="22"/>
          <w:lang w:val="sk-SK"/>
        </w:rPr>
        <w:t>Slovenskej republiky na podporu z Európskeho poľnohospodárskeho fondu pre rozvoj vidieka (CCI 2014SK06RDNP001);</w:t>
      </w:r>
    </w:p>
    <w:p w:rsidR="009A4F0D" w:rsidRPr="002C0666" w:rsidRDefault="000557D3" w:rsidP="00C446DE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sz w:val="22"/>
          <w:szCs w:val="22"/>
          <w:lang w:val="sk-SK"/>
        </w:rPr>
        <w:t>Kap</w:t>
      </w:r>
      <w:r w:rsidR="00E51D45">
        <w:rPr>
          <w:rFonts w:ascii="Times New Roman" w:hAnsi="Times New Roman" w:cs="Times New Roman"/>
          <w:sz w:val="22"/>
          <w:szCs w:val="22"/>
          <w:lang w:val="sk-SK"/>
        </w:rPr>
        <w:t>itola I, kapitola II a článok 40</w:t>
      </w:r>
      <w:r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kapitoly III n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>ariadeni</w:t>
      </w:r>
      <w:r w:rsidRPr="002C0666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Komisie (EÚ) č. 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702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/2014 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z 25. júna 2014, ktorým sa určité kategórie pomoci v odvetví poľnohospodárstva a lesného hospodárstva a vo vidieckych oblastiach vyhlasujú za zlučiteľné s vnútorným trhom pri uplatňovaní článkov 107 a 108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, zverejnen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é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v Úradnom vestníku EÚ pod č. Ú. v. L 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193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01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07. 2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014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(ďalej len „nariadenie Komisie (E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Ú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) č. 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702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>/20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14“);</w:t>
      </w:r>
    </w:p>
    <w:p w:rsidR="00F859CE" w:rsidRPr="002C0666" w:rsidRDefault="00964382" w:rsidP="00C446DE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sz w:val="22"/>
          <w:szCs w:val="22"/>
          <w:lang w:val="sk-SK"/>
        </w:rPr>
        <w:t>Nariadenie EP a Rady</w:t>
      </w:r>
      <w:r w:rsidRPr="002C0666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</w:t>
      </w:r>
      <w:r w:rsidR="00F859CE" w:rsidRPr="002C0666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</w:t>
      </w:r>
      <w:r w:rsidR="00F859CE" w:rsidRPr="002C0666">
        <w:rPr>
          <w:rFonts w:ascii="Times New Roman" w:hAnsi="Times New Roman" w:cs="Times New Roman"/>
          <w:sz w:val="22"/>
          <w:szCs w:val="22"/>
          <w:lang w:val="sk-SK"/>
        </w:rPr>
        <w:t>(Ú. v. L 347, 20. 12. 2013)</w:t>
      </w:r>
      <w:r w:rsidR="00F859CE" w:rsidRPr="002C0666">
        <w:rPr>
          <w:rFonts w:ascii="Times New Roman" w:hAnsi="Times New Roman" w:cs="Times New Roman"/>
          <w:bCs/>
          <w:sz w:val="22"/>
          <w:szCs w:val="22"/>
          <w:lang w:val="sk-SK"/>
        </w:rPr>
        <w:t>, (ďalej len “nariadenie EP a Rady (EÚ) č. 1303/2013”);</w:t>
      </w:r>
    </w:p>
    <w:p w:rsidR="009A4F0D" w:rsidRPr="002C0666" w:rsidRDefault="009A4F0D" w:rsidP="00C446DE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Nariadenie 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>EP a Rady (EÚ) č. 1305/2013</w:t>
      </w:r>
      <w:r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z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>o 17. decembra 2013</w:t>
      </w:r>
      <w:r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o podpore rozvoja vidieka prostredníctvom Európskeho poľnohospodárskeho fondu pre rozvoj vidieka (EPFRV) 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>a o zrušení nariadenia Rady (ES) č. 1698/2005</w:t>
      </w:r>
      <w:r w:rsidR="00F859CE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(Ú. v. L 34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7, </w:t>
      </w:r>
      <w:r w:rsidR="00F859CE" w:rsidRPr="002C0666">
        <w:rPr>
          <w:rFonts w:ascii="Times New Roman" w:hAnsi="Times New Roman" w:cs="Times New Roman"/>
          <w:sz w:val="22"/>
          <w:szCs w:val="22"/>
          <w:lang w:val="sk-SK"/>
        </w:rPr>
        <w:t>20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 w:rsidR="00F859CE" w:rsidRPr="002C0666">
        <w:rPr>
          <w:rFonts w:ascii="Times New Roman" w:hAnsi="Times New Roman" w:cs="Times New Roman"/>
          <w:sz w:val="22"/>
          <w:szCs w:val="22"/>
          <w:lang w:val="sk-SK"/>
        </w:rPr>
        <w:t>12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>. 20</w:t>
      </w:r>
      <w:r w:rsidR="00F859CE" w:rsidRPr="002C0666">
        <w:rPr>
          <w:rFonts w:ascii="Times New Roman" w:hAnsi="Times New Roman" w:cs="Times New Roman"/>
          <w:sz w:val="22"/>
          <w:szCs w:val="22"/>
          <w:lang w:val="sk-SK"/>
        </w:rPr>
        <w:t>13</w:t>
      </w:r>
      <w:r w:rsidRPr="002C0666">
        <w:rPr>
          <w:rFonts w:ascii="Times New Roman" w:hAnsi="Times New Roman" w:cs="Times New Roman"/>
          <w:sz w:val="22"/>
          <w:szCs w:val="22"/>
          <w:lang w:val="sk-SK"/>
        </w:rPr>
        <w:t>), (ďalej len „nari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adenie 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>EP a Rady (EÚ) č. 1305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/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>2013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“);</w:t>
      </w:r>
    </w:p>
    <w:p w:rsidR="00964382" w:rsidRPr="002C0666" w:rsidRDefault="00964382" w:rsidP="00C446DE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sz w:val="22"/>
          <w:szCs w:val="22"/>
          <w:lang w:val="sk-SK"/>
        </w:rPr>
        <w:t>Delegované nariadenie Komisie (EÚ) č. 807/2014 z 11. marca 2014, ktorým sa dopĺňa nariadenia EP a Rady (EÚ) č. 1305/2013 o podpore rozvoja vidieka prostredníctvom Európskeho poľnohospodárskeho fondu pre rozvoj vidieka (EPFRV) a ktorým sa zavádzajú prechodné ustanovenia (Ú. v. L 227, 31. 07. 2014), (ďalej len „delegované nariad</w:t>
      </w:r>
      <w:r w:rsidR="00693904">
        <w:rPr>
          <w:rFonts w:ascii="Times New Roman" w:hAnsi="Times New Roman" w:cs="Times New Roman"/>
          <w:sz w:val="22"/>
          <w:szCs w:val="22"/>
          <w:lang w:val="sk-SK"/>
        </w:rPr>
        <w:t>enie Komisie (EÚ) č. 807/2014“).</w:t>
      </w:r>
    </w:p>
    <w:p w:rsidR="009A4F0D" w:rsidRPr="009A4F0D" w:rsidRDefault="009A4F0D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9A4F0D" w:rsidRPr="009A4F0D" w:rsidRDefault="00B128C3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C. </w:t>
      </w:r>
      <w:r w:rsidR="009A4F0D" w:rsidRPr="009A4F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Účel pomoci </w:t>
      </w:r>
    </w:p>
    <w:p w:rsidR="00C5010F" w:rsidRPr="002C0666" w:rsidRDefault="004A2F1D" w:rsidP="004A2F1D">
      <w:pPr>
        <w:widowControl w:val="0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C.1 </w:t>
      </w:r>
      <w:r w:rsidR="0091155A">
        <w:rPr>
          <w:rFonts w:ascii="Times New Roman" w:hAnsi="Times New Roman" w:cs="Times New Roman"/>
          <w:sz w:val="22"/>
          <w:szCs w:val="22"/>
          <w:lang w:val="sk-SK"/>
        </w:rPr>
        <w:t>V </w:t>
      </w:r>
      <w:r w:rsidR="0091155A" w:rsidRPr="002C0666">
        <w:rPr>
          <w:rFonts w:ascii="Times New Roman" w:hAnsi="Times New Roman" w:cs="Times New Roman"/>
          <w:sz w:val="22"/>
          <w:szCs w:val="22"/>
          <w:lang w:val="sk-SK"/>
        </w:rPr>
        <w:t>súlade s</w:t>
      </w:r>
      <w:r w:rsidR="000557D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 kapitolou I, </w:t>
      </w:r>
      <w:r w:rsidR="0091155A" w:rsidRPr="002C0666">
        <w:rPr>
          <w:rFonts w:ascii="Times New Roman" w:hAnsi="Times New Roman" w:cs="Times New Roman"/>
          <w:sz w:val="22"/>
          <w:szCs w:val="22"/>
          <w:lang w:val="sk-SK"/>
        </w:rPr>
        <w:t>článkom 1, ods. 1, písm. e)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nariadenia Komisie (E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Ú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) č. </w:t>
      </w:r>
      <w:r w:rsidR="00645EEF" w:rsidRPr="002C0666">
        <w:rPr>
          <w:rFonts w:ascii="Times New Roman" w:hAnsi="Times New Roman" w:cs="Times New Roman"/>
          <w:sz w:val="22"/>
          <w:szCs w:val="22"/>
          <w:lang w:val="sk-SK"/>
        </w:rPr>
        <w:t>702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>/20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14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sa pomoc </w:t>
      </w:r>
      <w:r w:rsidR="004277A1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poskytnutá prostredníctvom tejto schémy 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charakterizuje ako </w:t>
      </w:r>
      <w:r w:rsidR="00645EEF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pomoc </w:t>
      </w:r>
      <w:r w:rsidR="007C6C12" w:rsidRPr="002C0666">
        <w:rPr>
          <w:rFonts w:ascii="Times New Roman" w:hAnsi="Times New Roman" w:cs="Times New Roman"/>
          <w:sz w:val="22"/>
          <w:szCs w:val="22"/>
          <w:lang w:val="sk-SK"/>
        </w:rPr>
        <w:t>v prospech odvetvia lesného hospodárstv</w:t>
      </w:r>
      <w:r w:rsidR="00E51D45">
        <w:rPr>
          <w:rFonts w:ascii="Times New Roman" w:hAnsi="Times New Roman" w:cs="Times New Roman"/>
          <w:sz w:val="22"/>
          <w:szCs w:val="22"/>
          <w:lang w:val="sk-SK"/>
        </w:rPr>
        <w:t xml:space="preserve">a, poskytovaná </w:t>
      </w:r>
      <w:r w:rsidR="00572755">
        <w:rPr>
          <w:rFonts w:ascii="Times New Roman" w:hAnsi="Times New Roman" w:cs="Times New Roman"/>
          <w:sz w:val="22"/>
          <w:szCs w:val="22"/>
          <w:lang w:val="sk-SK"/>
        </w:rPr>
        <w:t>podľa</w:t>
      </w:r>
      <w:r w:rsidR="00E51D45">
        <w:rPr>
          <w:rFonts w:ascii="Times New Roman" w:hAnsi="Times New Roman" w:cs="Times New Roman"/>
          <w:sz w:val="22"/>
          <w:szCs w:val="22"/>
          <w:lang w:val="sk-SK"/>
        </w:rPr>
        <w:t> čl. 40</w:t>
      </w:r>
      <w:r w:rsidR="000557D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kapitoly III </w:t>
      </w:r>
      <w:r w:rsidR="007C6C12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nariadenia Komisie (EÚ) č. 702/2014 </w:t>
      </w:r>
      <w:r w:rsidR="00645EEF" w:rsidRPr="002C0666">
        <w:rPr>
          <w:rFonts w:ascii="Times New Roman" w:hAnsi="Times New Roman" w:cs="Times New Roman"/>
          <w:sz w:val="22"/>
          <w:szCs w:val="22"/>
          <w:lang w:val="sk-SK"/>
        </w:rPr>
        <w:t>na</w:t>
      </w:r>
      <w:r w:rsidR="002C7689">
        <w:rPr>
          <w:rFonts w:ascii="Times New Roman" w:hAnsi="Times New Roman" w:cs="Times New Roman"/>
          <w:sz w:val="22"/>
          <w:szCs w:val="22"/>
          <w:lang w:val="sk-SK"/>
        </w:rPr>
        <w:t xml:space="preserve"> pomoc na investície do infraštruktúry súvisiace s rozvojom, modernizáciou alebo prispôsobením odvetvia lesného hospodárstva</w:t>
      </w:r>
      <w:r w:rsidR="00BE3F20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 w:rsidR="00322200">
        <w:rPr>
          <w:rFonts w:ascii="Times New Roman" w:hAnsi="Times New Roman" w:cs="Times New Roman"/>
          <w:sz w:val="22"/>
          <w:szCs w:val="22"/>
          <w:lang w:val="sk-SK"/>
        </w:rPr>
        <w:t>Táto pomoc</w:t>
      </w:r>
      <w:r w:rsidR="008D4169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je zlučiteľná s vnútorným trhom v zmysle čl. 107 ods. 3 ZFEÚ a oslobodená od notifikačnej povinnosti podľa čl. 108 ods. 3 ZFEÚ a spĺňa všetky podmienky kapitoly I</w:t>
      </w:r>
      <w:r w:rsidR="000557D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a kapitoly II </w:t>
      </w:r>
      <w:r w:rsidR="008D4169" w:rsidRPr="002C0666">
        <w:rPr>
          <w:rFonts w:ascii="Times New Roman" w:hAnsi="Times New Roman" w:cs="Times New Roman"/>
          <w:sz w:val="22"/>
          <w:szCs w:val="22"/>
          <w:lang w:val="sk-SK"/>
        </w:rPr>
        <w:t> nariadenia Komisie (EÚ) č.702/2014,</w:t>
      </w:r>
      <w:r w:rsidR="002C7689">
        <w:rPr>
          <w:rFonts w:ascii="Times New Roman" w:hAnsi="Times New Roman" w:cs="Times New Roman"/>
          <w:sz w:val="22"/>
          <w:szCs w:val="22"/>
          <w:lang w:val="sk-SK"/>
        </w:rPr>
        <w:t xml:space="preserve"> ako aj osobitné podmienky čl. </w:t>
      </w:r>
      <w:r w:rsidR="008D4169" w:rsidRPr="002C0666">
        <w:rPr>
          <w:rFonts w:ascii="Times New Roman" w:hAnsi="Times New Roman" w:cs="Times New Roman"/>
          <w:sz w:val="22"/>
          <w:szCs w:val="22"/>
          <w:lang w:val="sk-SK"/>
        </w:rPr>
        <w:t>4</w:t>
      </w:r>
      <w:r w:rsidR="002C7689">
        <w:rPr>
          <w:rFonts w:ascii="Times New Roman" w:hAnsi="Times New Roman" w:cs="Times New Roman"/>
          <w:sz w:val="22"/>
          <w:szCs w:val="22"/>
          <w:lang w:val="sk-SK"/>
        </w:rPr>
        <w:t>0</w:t>
      </w:r>
      <w:r w:rsidR="008D4169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0557D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kapitoly III nariadenia Komisie (EÚ) č. 702/2014</w:t>
      </w:r>
      <w:r w:rsidR="002C0666" w:rsidRPr="002C0666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7D1A45" w:rsidRDefault="004A2F1D" w:rsidP="004A2F1D">
      <w:pPr>
        <w:widowControl w:val="0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C.2 </w:t>
      </w:r>
      <w:r w:rsidR="00572755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Pomoc </w:t>
      </w:r>
      <w:r w:rsidR="00572755">
        <w:rPr>
          <w:rFonts w:ascii="Times New Roman" w:hAnsi="Times New Roman" w:cs="Times New Roman"/>
          <w:sz w:val="22"/>
          <w:szCs w:val="22"/>
          <w:lang w:val="sk-SK"/>
        </w:rPr>
        <w:t xml:space="preserve">je poskytovaná </w:t>
      </w:r>
      <w:r w:rsidR="00572755" w:rsidRPr="002C0666">
        <w:rPr>
          <w:rFonts w:ascii="Times New Roman" w:hAnsi="Times New Roman" w:cs="Times New Roman"/>
          <w:sz w:val="22"/>
          <w:szCs w:val="22"/>
          <w:lang w:val="sk-SK"/>
        </w:rPr>
        <w:t>v rámci</w:t>
      </w:r>
      <w:r w:rsidR="00572755" w:rsidRPr="00B3541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572755" w:rsidRPr="00E54799">
        <w:rPr>
          <w:rFonts w:ascii="Times New Roman" w:hAnsi="Times New Roman" w:cs="Times New Roman"/>
          <w:sz w:val="22"/>
          <w:szCs w:val="22"/>
          <w:lang w:val="sk-SK"/>
        </w:rPr>
        <w:t xml:space="preserve">PRV </w:t>
      </w:r>
      <w:r w:rsidR="00A973AA" w:rsidRPr="00E54799">
        <w:rPr>
          <w:rFonts w:ascii="Times New Roman" w:hAnsi="Times New Roman" w:cs="Times New Roman"/>
          <w:sz w:val="22"/>
          <w:szCs w:val="22"/>
          <w:lang w:val="sk-SK"/>
        </w:rPr>
        <w:t xml:space="preserve">na podopatrenie 4.3 </w:t>
      </w:r>
      <w:r w:rsidR="00572755">
        <w:rPr>
          <w:rFonts w:ascii="Times New Roman" w:hAnsi="Times New Roman" w:cs="Times New Roman"/>
          <w:sz w:val="22"/>
          <w:szCs w:val="22"/>
          <w:lang w:val="sk-SK"/>
        </w:rPr>
        <w:t>podľa čl. 17, ods. 1, písm. c)</w:t>
      </w:r>
      <w:r w:rsidR="00572755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nariade</w:t>
      </w:r>
      <w:r w:rsidR="00572755">
        <w:rPr>
          <w:rFonts w:ascii="Times New Roman" w:hAnsi="Times New Roman" w:cs="Times New Roman"/>
          <w:sz w:val="22"/>
          <w:szCs w:val="22"/>
          <w:lang w:val="sk-SK"/>
        </w:rPr>
        <w:t>nia EP a Rady (EÚ) č.1305/2013</w:t>
      </w:r>
      <w:r w:rsidR="00572755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a</w:t>
      </w:r>
      <w:r w:rsidR="00572755">
        <w:rPr>
          <w:rFonts w:ascii="Times New Roman" w:hAnsi="Times New Roman" w:cs="Times New Roman"/>
          <w:sz w:val="22"/>
          <w:szCs w:val="22"/>
          <w:lang w:val="sk-SK"/>
        </w:rPr>
        <w:t> v súlade s</w:t>
      </w:r>
      <w:r w:rsidR="00572755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 delegovanými a vykonávacími aktmi, prijatými Komisiou podľa daného </w:t>
      </w:r>
      <w:r w:rsidR="00572755">
        <w:rPr>
          <w:rFonts w:ascii="Times New Roman" w:hAnsi="Times New Roman" w:cs="Times New Roman"/>
          <w:sz w:val="22"/>
          <w:szCs w:val="22"/>
          <w:lang w:val="sk-SK"/>
        </w:rPr>
        <w:t>nariadenia</w:t>
      </w:r>
      <w:r w:rsidR="00572755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, ako pomoc </w:t>
      </w:r>
      <w:r w:rsidR="00572755">
        <w:rPr>
          <w:rFonts w:ascii="Times New Roman" w:hAnsi="Times New Roman" w:cs="Times New Roman"/>
          <w:sz w:val="22"/>
          <w:szCs w:val="22"/>
          <w:lang w:val="sk-SK"/>
        </w:rPr>
        <w:t>spolufinancovaná z fondu EPFRV.</w:t>
      </w:r>
    </w:p>
    <w:p w:rsidR="00820619" w:rsidRDefault="004A2F1D" w:rsidP="004A2F1D">
      <w:pPr>
        <w:widowControl w:val="0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C.3 </w:t>
      </w:r>
      <w:r w:rsidR="000A12DE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Vymedzenie </w:t>
      </w:r>
      <w:r w:rsidR="008D4169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relevantných </w:t>
      </w:r>
      <w:r w:rsidR="000A12DE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pojmov, </w:t>
      </w:r>
      <w:r w:rsidR="00A33CB5" w:rsidRPr="002C0666">
        <w:rPr>
          <w:rFonts w:ascii="Times New Roman" w:hAnsi="Times New Roman" w:cs="Times New Roman"/>
          <w:sz w:val="22"/>
          <w:szCs w:val="22"/>
          <w:lang w:val="sk-SK"/>
        </w:rPr>
        <w:t>vzťahujúcich</w:t>
      </w:r>
      <w:r w:rsidR="000A12DE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sa na </w:t>
      </w:r>
      <w:r w:rsidR="00C5010F" w:rsidRPr="002C0666">
        <w:rPr>
          <w:rFonts w:ascii="Times New Roman" w:hAnsi="Times New Roman" w:cs="Times New Roman"/>
          <w:sz w:val="22"/>
          <w:szCs w:val="22"/>
          <w:lang w:val="sk-SK"/>
        </w:rPr>
        <w:t>túto</w:t>
      </w:r>
      <w:r w:rsidR="000A12DE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pomoc, je stanovené v článku </w:t>
      </w:r>
      <w:r w:rsidR="00C5010F" w:rsidRPr="002C0666">
        <w:rPr>
          <w:rFonts w:ascii="Times New Roman" w:hAnsi="Times New Roman" w:cs="Times New Roman"/>
          <w:sz w:val="22"/>
          <w:szCs w:val="22"/>
          <w:lang w:val="sk-SK"/>
        </w:rPr>
        <w:t>2</w:t>
      </w:r>
      <w:r w:rsidR="000557D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kapitoly I</w:t>
      </w:r>
      <w:r w:rsidR="00C5010F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nariadenia Komisie (EÚ) č.702</w:t>
      </w:r>
      <w:r w:rsidR="000A12DE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/2014. </w:t>
      </w:r>
    </w:p>
    <w:p w:rsidR="009A4F0D" w:rsidRPr="008F7BB0" w:rsidRDefault="004A2F1D" w:rsidP="004A2F1D">
      <w:pPr>
        <w:widowControl w:val="0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C.4 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Účelom poskytnutia pomoci je </w:t>
      </w:r>
      <w:r w:rsidR="00C5010F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podpora </w:t>
      </w:r>
      <w:r w:rsidR="00BC11F5">
        <w:rPr>
          <w:rFonts w:ascii="Times New Roman" w:hAnsi="Times New Roman" w:cs="Times New Roman"/>
          <w:sz w:val="22"/>
          <w:szCs w:val="22"/>
          <w:lang w:val="sk-SK"/>
        </w:rPr>
        <w:t>investícií týkajúcich sa infraštruktúry a prístupu k </w:t>
      </w:r>
      <w:r w:rsidR="00BC11F5" w:rsidRPr="008F7BB0">
        <w:rPr>
          <w:rFonts w:ascii="Times New Roman" w:hAnsi="Times New Roman" w:cs="Times New Roman"/>
          <w:sz w:val="22"/>
          <w:szCs w:val="22"/>
          <w:lang w:val="sk-SK"/>
        </w:rPr>
        <w:t>lesnej pôde</w:t>
      </w:r>
      <w:r w:rsidR="009A4F0D" w:rsidRPr="008F7BB0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B128C3" w:rsidRPr="008F7BB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9A4F0D" w:rsidRPr="008F7BB0">
        <w:rPr>
          <w:rFonts w:ascii="Times New Roman" w:hAnsi="Times New Roman" w:cs="Times New Roman"/>
          <w:sz w:val="22"/>
          <w:szCs w:val="22"/>
          <w:lang w:val="sk-SK"/>
        </w:rPr>
        <w:t xml:space="preserve">Tento </w:t>
      </w:r>
      <w:r w:rsidR="00C5010F" w:rsidRPr="008F7BB0">
        <w:rPr>
          <w:rFonts w:ascii="Times New Roman" w:hAnsi="Times New Roman" w:cs="Times New Roman"/>
          <w:sz w:val="22"/>
          <w:szCs w:val="22"/>
          <w:lang w:val="sk-SK"/>
        </w:rPr>
        <w:t>účel</w:t>
      </w:r>
      <w:r w:rsidR="009A4F0D" w:rsidRPr="008F7BB0">
        <w:rPr>
          <w:rFonts w:ascii="Times New Roman" w:hAnsi="Times New Roman" w:cs="Times New Roman"/>
          <w:sz w:val="22"/>
          <w:szCs w:val="22"/>
          <w:lang w:val="sk-SK"/>
        </w:rPr>
        <w:t xml:space="preserve"> sa bude napĺňať predovšetkým prostredníctvom</w:t>
      </w:r>
      <w:r w:rsidR="007D2F52" w:rsidRPr="008F7BB0">
        <w:rPr>
          <w:rFonts w:ascii="Times New Roman" w:hAnsi="Times New Roman" w:cs="Times New Roman"/>
          <w:sz w:val="22"/>
          <w:szCs w:val="22"/>
          <w:lang w:val="sk-SK"/>
        </w:rPr>
        <w:t xml:space="preserve"> podpor</w:t>
      </w:r>
      <w:r w:rsidR="000400E3" w:rsidRPr="008F7BB0">
        <w:rPr>
          <w:rFonts w:ascii="Times New Roman" w:hAnsi="Times New Roman" w:cs="Times New Roman"/>
          <w:sz w:val="22"/>
          <w:szCs w:val="22"/>
          <w:lang w:val="sk-SK"/>
        </w:rPr>
        <w:t>y</w:t>
      </w:r>
      <w:r w:rsidR="009A4F0D" w:rsidRPr="008F7BB0">
        <w:rPr>
          <w:rFonts w:ascii="Times New Roman" w:hAnsi="Times New Roman" w:cs="Times New Roman"/>
          <w:sz w:val="22"/>
          <w:szCs w:val="22"/>
          <w:lang w:val="sk-SK"/>
        </w:rPr>
        <w:t>:</w:t>
      </w:r>
    </w:p>
    <w:p w:rsidR="00C5010F" w:rsidRPr="008F7BB0" w:rsidRDefault="00C5010F" w:rsidP="00C446D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right="-489" w:firstLine="36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8F7BB0">
        <w:rPr>
          <w:rFonts w:ascii="Times New Roman" w:hAnsi="Times New Roman" w:cs="Times New Roman"/>
          <w:sz w:val="22"/>
          <w:szCs w:val="22"/>
          <w:lang w:val="sk-SK"/>
        </w:rPr>
        <w:t>činností na</w:t>
      </w:r>
      <w:r w:rsidR="008F7BB0" w:rsidRPr="008F7BB0">
        <w:rPr>
          <w:rFonts w:ascii="Times New Roman" w:hAnsi="Times New Roman" w:cs="Times New Roman"/>
          <w:sz w:val="22"/>
          <w:szCs w:val="22"/>
          <w:lang w:val="sk-SK"/>
        </w:rPr>
        <w:t xml:space="preserve"> výstavbu nových a rekonštrukciu existujúcich lesných ciest.</w:t>
      </w:r>
    </w:p>
    <w:p w:rsidR="00A11491" w:rsidRDefault="00A11491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</w:p>
    <w:p w:rsidR="009A4F0D" w:rsidRPr="003F3DBB" w:rsidRDefault="00B128C3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3F3DBB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D. </w:t>
      </w:r>
      <w:r w:rsidR="009A4F0D" w:rsidRPr="003F3DBB">
        <w:rPr>
          <w:rFonts w:ascii="Times New Roman" w:hAnsi="Times New Roman" w:cs="Times New Roman"/>
          <w:b/>
          <w:bCs/>
          <w:sz w:val="22"/>
          <w:szCs w:val="22"/>
          <w:lang w:val="sk-SK"/>
        </w:rPr>
        <w:t>Poskytovateľ pomoci a vykonávateľ schémy</w:t>
      </w:r>
    </w:p>
    <w:p w:rsidR="009A4F0D" w:rsidRPr="003F3DBB" w:rsidRDefault="004A2F1D" w:rsidP="0033509A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ind w:right="-489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D.1 </w:t>
      </w:r>
      <w:r w:rsidR="009A4F0D" w:rsidRPr="003F3DBB">
        <w:rPr>
          <w:rFonts w:ascii="Times New Roman" w:hAnsi="Times New Roman" w:cs="Times New Roman"/>
          <w:sz w:val="22"/>
          <w:szCs w:val="22"/>
          <w:u w:val="single"/>
          <w:lang w:val="sk-SK"/>
        </w:rPr>
        <w:t>Poskytovateľ pomoci</w:t>
      </w:r>
      <w:r w:rsidR="009A4F0D" w:rsidRPr="00DB5A16">
        <w:rPr>
          <w:rFonts w:ascii="Times New Roman" w:hAnsi="Times New Roman" w:cs="Times New Roman"/>
          <w:sz w:val="22"/>
          <w:szCs w:val="22"/>
          <w:lang w:val="sk-SK"/>
        </w:rPr>
        <w:t>:</w:t>
      </w:r>
    </w:p>
    <w:p w:rsidR="00DB5A16" w:rsidRPr="003F3DBB" w:rsidRDefault="00DB5A16" w:rsidP="00DB5A16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>Pôdohospodárska pla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tobná agentúra </w:t>
      </w:r>
      <w:r w:rsidR="00F754EF">
        <w:rPr>
          <w:rFonts w:ascii="Times New Roman" w:hAnsi="Times New Roman" w:cs="Times New Roman"/>
          <w:kern w:val="1"/>
          <w:sz w:val="22"/>
          <w:szCs w:val="22"/>
          <w:lang w:val="sk-SK"/>
        </w:rPr>
        <w:t>(ďalej len „PPA“)</w:t>
      </w:r>
    </w:p>
    <w:p w:rsidR="00DB5A16" w:rsidRPr="003F3DBB" w:rsidRDefault="00DB5A16" w:rsidP="00DB5A16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>Dobrovičova 12</w:t>
      </w:r>
    </w:p>
    <w:p w:rsidR="00DB5A16" w:rsidRPr="003F3DBB" w:rsidRDefault="00DB5A16" w:rsidP="00DB5A16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>Bratislava 815 26</w:t>
      </w:r>
    </w:p>
    <w:p w:rsidR="00DB5A16" w:rsidRPr="003F3DBB" w:rsidRDefault="00DB5A16" w:rsidP="00DB5A16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>Slovenská republika</w:t>
      </w:r>
    </w:p>
    <w:p w:rsidR="00DB5A16" w:rsidRPr="003F3DBB" w:rsidRDefault="00DB5A16" w:rsidP="00DB5A16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>Tel : + 421 2 592 66 111</w:t>
      </w:r>
    </w:p>
    <w:p w:rsidR="00DB5A16" w:rsidRPr="003F3DBB" w:rsidRDefault="00DB5A16" w:rsidP="00DB5A16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>Webové sídlo</w:t>
      </w:r>
      <w:r w:rsidRPr="003F3DBB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: </w:t>
      </w:r>
      <w:hyperlink r:id="rId9" w:history="1">
        <w:r w:rsidRPr="003F3DBB">
          <w:rPr>
            <w:rFonts w:ascii="Times New Roman" w:hAnsi="Times New Roman" w:cs="Times New Roman"/>
            <w:color w:val="0000FF"/>
            <w:kern w:val="1"/>
            <w:sz w:val="22"/>
            <w:szCs w:val="22"/>
            <w:u w:val="single" w:color="0000FF"/>
            <w:lang w:val="sk-SK"/>
          </w:rPr>
          <w:t>www.apa.sk</w:t>
        </w:r>
      </w:hyperlink>
    </w:p>
    <w:p w:rsidR="009A4F0D" w:rsidRPr="003F3DBB" w:rsidRDefault="009A4F0D" w:rsidP="0033509A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i/>
          <w:iCs/>
          <w:sz w:val="22"/>
          <w:szCs w:val="22"/>
          <w:lang w:val="sk-SK"/>
        </w:rPr>
      </w:pPr>
    </w:p>
    <w:p w:rsidR="00F754EF" w:rsidRDefault="004A2F1D" w:rsidP="00F754EF">
      <w:pPr>
        <w:widowControl w:val="0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pacing w:val="-4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pacing w:val="-4"/>
          <w:kern w:val="1"/>
          <w:sz w:val="22"/>
          <w:szCs w:val="22"/>
          <w:lang w:val="sk-SK"/>
        </w:rPr>
        <w:lastRenderedPageBreak/>
        <w:t xml:space="preserve">D.2 </w:t>
      </w:r>
      <w:r w:rsidR="00F754EF">
        <w:rPr>
          <w:rFonts w:ascii="Times New Roman" w:hAnsi="Times New Roman" w:cs="Times New Roman"/>
          <w:spacing w:val="-4"/>
          <w:kern w:val="1"/>
          <w:sz w:val="22"/>
          <w:szCs w:val="22"/>
          <w:lang w:val="sk-SK"/>
        </w:rPr>
        <w:t>Vykonávateľom schémy je poskytovateľ pomoci.</w:t>
      </w:r>
    </w:p>
    <w:p w:rsidR="009A4F0D" w:rsidRPr="00DB5A16" w:rsidRDefault="00F754EF" w:rsidP="00DB5A16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D.3 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PPA</w:t>
      </w:r>
      <w:r w:rsidR="00DB5A16">
        <w:rPr>
          <w:rFonts w:ascii="Times New Roman" w:hAnsi="Times New Roman" w:cs="Times New Roman"/>
          <w:spacing w:val="-4"/>
          <w:kern w:val="1"/>
          <w:sz w:val="22"/>
          <w:szCs w:val="22"/>
          <w:lang w:val="sk-SK"/>
        </w:rPr>
        <w:t xml:space="preserve"> je poskytovateľom pomoci </w:t>
      </w:r>
      <w:r w:rsidR="00DB5A16">
        <w:rPr>
          <w:rFonts w:ascii="Times New Roman" w:hAnsi="Times New Roman" w:cs="Times New Roman"/>
          <w:sz w:val="22"/>
          <w:szCs w:val="22"/>
          <w:lang w:val="sk-SK"/>
        </w:rPr>
        <w:t>pre poskytovanie príspevku z EPFRV v zmysle §3, ods. 2, písm. f) zákona o EŠIF</w:t>
      </w:r>
      <w:r w:rsidR="009A4F0D" w:rsidRPr="003F3DBB">
        <w:rPr>
          <w:rFonts w:ascii="Times New Roman" w:hAnsi="Times New Roman" w:cs="Times New Roman"/>
          <w:i/>
          <w:iCs/>
          <w:spacing w:val="-4"/>
          <w:kern w:val="1"/>
          <w:sz w:val="22"/>
          <w:szCs w:val="22"/>
          <w:lang w:val="sk-SK"/>
        </w:rPr>
        <w:t>.</w:t>
      </w:r>
    </w:p>
    <w:p w:rsidR="009A4F0D" w:rsidRPr="003F3DBB" w:rsidRDefault="009A4F0D" w:rsidP="0033509A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3F3DBB" w:rsidRDefault="004A2F1D" w:rsidP="004A2F1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D.4 </w:t>
      </w:r>
      <w:r w:rsidR="009A4F0D"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PPA je rozpočtovou organizáciou </w:t>
      </w:r>
      <w:r w:rsidR="00DB5A16">
        <w:rPr>
          <w:rFonts w:ascii="Times New Roman" w:hAnsi="Times New Roman" w:cs="Times New Roman"/>
          <w:kern w:val="1"/>
          <w:sz w:val="22"/>
          <w:szCs w:val="22"/>
          <w:lang w:val="sk-SK"/>
        </w:rPr>
        <w:t>Ministerstva pôdohospodárstva a rozvoja vidieka SR (ďalej len „ministerstvo“)</w:t>
      </w:r>
      <w:r w:rsidR="009A4F0D"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>, ktorá vznikla 1. dec</w:t>
      </w:r>
      <w:r w:rsidR="007D2F52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embra 2003 na základe zákona č. </w:t>
      </w:r>
      <w:r w:rsidR="009A4F0D"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>473/2003 Z. z. o Pôdohospodárskej platobnej agentúre, o podpore podnikania v pôdohospodárstve a o zmene a doplnení niektorých zákonov. Zabezpečuje administráciu podporných mechanizmov v sektore pôdohospodárstva.</w:t>
      </w:r>
    </w:p>
    <w:p w:rsidR="009A4F0D" w:rsidRPr="003F3DBB" w:rsidRDefault="004A2F1D" w:rsidP="004A2F1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D.5 </w:t>
      </w:r>
      <w:r w:rsidR="00F754EF">
        <w:rPr>
          <w:rFonts w:ascii="Times New Roman" w:hAnsi="Times New Roman" w:cs="Times New Roman"/>
          <w:kern w:val="1"/>
          <w:sz w:val="22"/>
          <w:szCs w:val="22"/>
          <w:lang w:val="sk-SK"/>
        </w:rPr>
        <w:t>PPA</w:t>
      </w:r>
      <w:r w:rsidR="009A4F0D"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zriadená podľa doterajších zákonov je platobnou agentúrou v zmysle zákona č. 543/2007 Z. z. o pôsobnosti orgánov štátnej správy pri poskytovaní podpory v pôdohospodárstve a rozvoji vidieka v znení neskorších predpisov.</w:t>
      </w:r>
    </w:p>
    <w:p w:rsidR="00F91FA1" w:rsidRDefault="00F91FA1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</w:p>
    <w:p w:rsidR="009A4F0D" w:rsidRPr="003F3DBB" w:rsidRDefault="00B128C3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 w:rsidRPr="003F3DBB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E. </w:t>
      </w:r>
      <w:r w:rsidR="00C92FD9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Príjemca pomoci </w:t>
      </w:r>
    </w:p>
    <w:p w:rsidR="00C92FD9" w:rsidRPr="00DA1A05" w:rsidRDefault="00C92FD9" w:rsidP="0033509A">
      <w:pPr>
        <w:pStyle w:val="Odsekzoznamu"/>
        <w:tabs>
          <w:tab w:val="left" w:pos="8222"/>
        </w:tabs>
        <w:spacing w:after="120"/>
        <w:ind w:left="0" w:right="-489"/>
        <w:contextualSpacing w:val="0"/>
        <w:jc w:val="both"/>
        <w:rPr>
          <w:rFonts w:ascii="Times New Roman" w:hAnsi="Times New Roman" w:cs="Times New Roman"/>
          <w:sz w:val="22"/>
          <w:lang w:val="sk-SK"/>
        </w:rPr>
      </w:pPr>
      <w:r w:rsidRPr="00DA1A05">
        <w:rPr>
          <w:rFonts w:ascii="Times New Roman" w:hAnsi="Times New Roman" w:cs="Times New Roman"/>
          <w:b/>
          <w:sz w:val="22"/>
          <w:szCs w:val="22"/>
          <w:lang w:val="sk-SK"/>
        </w:rPr>
        <w:t xml:space="preserve">E.1 </w:t>
      </w:r>
      <w:r w:rsidR="00464470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Príjemcom pomoci </w:t>
      </w:r>
      <w:r w:rsidR="00464470">
        <w:rPr>
          <w:rFonts w:ascii="Times New Roman" w:hAnsi="Times New Roman" w:cs="Times New Roman"/>
          <w:sz w:val="22"/>
          <w:szCs w:val="22"/>
          <w:lang w:val="sk-SK"/>
        </w:rPr>
        <w:t>(</w:t>
      </w:r>
      <w:r w:rsidR="007D2F52">
        <w:rPr>
          <w:rFonts w:ascii="Times New Roman" w:hAnsi="Times New Roman" w:cs="Times New Roman"/>
          <w:sz w:val="22"/>
          <w:szCs w:val="22"/>
          <w:lang w:val="sk-SK"/>
        </w:rPr>
        <w:t>oprávneným žiadateľom, konečným prijímateľom</w:t>
      </w:r>
      <w:r w:rsidR="00DA1A05" w:rsidRPr="00DA1A05">
        <w:rPr>
          <w:rFonts w:ascii="Times New Roman" w:hAnsi="Times New Roman" w:cs="Times New Roman"/>
          <w:sz w:val="22"/>
          <w:szCs w:val="22"/>
          <w:lang w:val="sk-SK"/>
        </w:rPr>
        <w:t xml:space="preserve">) (ďalej len „príjemca pomoci“) </w:t>
      </w:r>
      <w:r w:rsidRPr="00DA1A05">
        <w:rPr>
          <w:rFonts w:ascii="Times New Roman" w:hAnsi="Times New Roman" w:cs="Times New Roman"/>
          <w:sz w:val="22"/>
          <w:lang w:val="sk-SK"/>
        </w:rPr>
        <w:t xml:space="preserve">je podnik v zmysle čl. 107 </w:t>
      </w:r>
      <w:r w:rsidR="00DA1A05" w:rsidRPr="00DA1A05">
        <w:rPr>
          <w:rFonts w:ascii="Times New Roman" w:hAnsi="Times New Roman" w:cs="Times New Roman"/>
          <w:sz w:val="22"/>
          <w:lang w:val="sk-SK"/>
        </w:rPr>
        <w:t>ZFEÚ</w:t>
      </w:r>
      <w:r w:rsidRPr="00DA1A05">
        <w:rPr>
          <w:rFonts w:ascii="Times New Roman" w:hAnsi="Times New Roman" w:cs="Times New Roman"/>
          <w:sz w:val="22"/>
          <w:lang w:val="sk-SK"/>
        </w:rPr>
        <w:t xml:space="preserve"> t.j. subjekt, ktorý vykonáva hospodársku činnosť bez ohľadu na jeho právny status a spôsob financovania.</w:t>
      </w:r>
    </w:p>
    <w:p w:rsidR="00436140" w:rsidRPr="0091155A" w:rsidRDefault="00DA1A05" w:rsidP="00A44547">
      <w:pPr>
        <w:widowControl w:val="0"/>
        <w:tabs>
          <w:tab w:val="left" w:pos="220"/>
          <w:tab w:val="left" w:pos="720"/>
          <w:tab w:val="left" w:pos="8789"/>
        </w:tabs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A1A05">
        <w:rPr>
          <w:rFonts w:ascii="Times New Roman" w:hAnsi="Times New Roman" w:cs="Times New Roman"/>
          <w:b/>
          <w:sz w:val="22"/>
          <w:szCs w:val="22"/>
          <w:lang w:val="sk-SK"/>
        </w:rPr>
        <w:t>E.2</w:t>
      </w:r>
      <w:r w:rsidR="00A44547">
        <w:rPr>
          <w:rFonts w:ascii="Times New Roman" w:hAnsi="Times New Roman" w:cs="Times New Roman"/>
          <w:sz w:val="22"/>
          <w:szCs w:val="22"/>
          <w:lang w:val="sk-SK"/>
        </w:rPr>
        <w:t xml:space="preserve"> Príjemcami pomoci </w:t>
      </w:r>
      <w:r w:rsidR="00CE25A1" w:rsidRPr="003F3DBB">
        <w:rPr>
          <w:rFonts w:ascii="Times New Roman" w:hAnsi="Times New Roman" w:cs="Times New Roman"/>
          <w:sz w:val="22"/>
          <w:szCs w:val="22"/>
          <w:lang w:val="sk-SK"/>
        </w:rPr>
        <w:t xml:space="preserve">sú </w:t>
      </w:r>
      <w:r w:rsidR="00A44547">
        <w:rPr>
          <w:rFonts w:ascii="Times New Roman" w:hAnsi="Times New Roman" w:cs="Times New Roman"/>
          <w:sz w:val="22"/>
          <w:szCs w:val="22"/>
          <w:lang w:val="sk-SK"/>
        </w:rPr>
        <w:t xml:space="preserve">obhospodarovatelia lesa v zmysle zákona o lesoch. </w:t>
      </w:r>
    </w:p>
    <w:p w:rsidR="0021478B" w:rsidRPr="00932DAB" w:rsidRDefault="00A11491" w:rsidP="00932DAB">
      <w:pPr>
        <w:widowControl w:val="0"/>
        <w:autoSpaceDE w:val="0"/>
        <w:autoSpaceDN w:val="0"/>
        <w:adjustRightInd w:val="0"/>
        <w:spacing w:after="120" w:line="300" w:lineRule="exact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A11491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E.3 </w:t>
      </w:r>
      <w:r w:rsidR="0021478B" w:rsidRPr="00656AD1">
        <w:rPr>
          <w:rFonts w:ascii="Times New Roman" w:hAnsi="Times New Roman" w:cs="Times New Roman"/>
          <w:b/>
          <w:sz w:val="22"/>
          <w:szCs w:val="22"/>
          <w:lang w:val="sk-SK"/>
        </w:rPr>
        <w:t>Táto schéma sa</w:t>
      </w:r>
      <w:r w:rsidR="0021478B" w:rsidRPr="00656AD1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21478B" w:rsidRPr="00656AD1">
        <w:rPr>
          <w:rFonts w:ascii="Times New Roman" w:hAnsi="Times New Roman" w:cs="Times New Roman"/>
          <w:b/>
          <w:sz w:val="22"/>
          <w:szCs w:val="22"/>
          <w:lang w:val="sk-SK"/>
        </w:rPr>
        <w:t>neuplatňuje</w:t>
      </w:r>
      <w:r w:rsidR="0021478B" w:rsidRPr="00656AD1">
        <w:rPr>
          <w:rFonts w:ascii="Times New Roman" w:hAnsi="Times New Roman" w:cs="Times New Roman"/>
          <w:sz w:val="22"/>
          <w:szCs w:val="22"/>
          <w:lang w:val="sk-SK"/>
        </w:rPr>
        <w:t>:</w:t>
      </w:r>
    </w:p>
    <w:p w:rsidR="0091155A" w:rsidRDefault="007C6C12" w:rsidP="008F7BB0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na pomoc </w:t>
      </w:r>
      <w:r w:rsidR="0091155A">
        <w:rPr>
          <w:rFonts w:ascii="Times New Roman" w:hAnsi="Times New Roman" w:cs="Times New Roman"/>
          <w:sz w:val="22"/>
          <w:szCs w:val="22"/>
          <w:lang w:val="sk-SK"/>
        </w:rPr>
        <w:t>v prospech odvetvia lesného hospodárstva, ktorá nie je spolufinancovaná z EPFRV;</w:t>
      </w:r>
    </w:p>
    <w:p w:rsidR="0021478B" w:rsidRDefault="0021478B" w:rsidP="008F7BB0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v prípade, ak priemerný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ročný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rozpočet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na </w:t>
      </w:r>
      <w:r w:rsidR="007C6C12">
        <w:rPr>
          <w:rFonts w:ascii="Times New Roman" w:hAnsi="Times New Roman" w:cs="Times New Roman"/>
          <w:sz w:val="22"/>
          <w:szCs w:val="22"/>
          <w:lang w:val="sk-SK"/>
        </w:rPr>
        <w:t xml:space="preserve">túto schému </w:t>
      </w:r>
      <w:r>
        <w:rPr>
          <w:rFonts w:ascii="Times New Roman" w:hAnsi="Times New Roman" w:cs="Times New Roman"/>
          <w:sz w:val="22"/>
          <w:szCs w:val="22"/>
          <w:lang w:val="sk-SK"/>
        </w:rPr>
        <w:t>pre</w:t>
      </w:r>
      <w:r w:rsidR="007C6C12">
        <w:rPr>
          <w:rFonts w:ascii="Times New Roman" w:hAnsi="Times New Roman" w:cs="Times New Roman"/>
          <w:sz w:val="22"/>
          <w:szCs w:val="22"/>
          <w:lang w:val="sk-SK"/>
        </w:rPr>
        <w:t>vyšuje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150 mil. EUR,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počínajúc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A44547">
        <w:rPr>
          <w:rFonts w:ascii="Times New Roman" w:hAnsi="Times New Roman" w:cs="Times New Roman"/>
          <w:sz w:val="22"/>
          <w:szCs w:val="22"/>
          <w:lang w:val="sk-SK"/>
        </w:rPr>
        <w:t>šesť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mesiacov po nadobudnutí jej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účinnosti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. Komisia môže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rozhodnúť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o tom, že táto schéma sa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naďalej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uplatňuje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na dlhšie obdobie po tom, ako posúdi príslušný plán hodnotenia notifikovaný Komisii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členským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štátom, a to do 20 pracovných dní od nadobudnutia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účinnosti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schémy;</w:t>
      </w:r>
    </w:p>
    <w:p w:rsidR="0021478B" w:rsidRDefault="0021478B" w:rsidP="008F7BB0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na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akékoľvek</w:t>
      </w:r>
      <w:r w:rsidR="007C6C12">
        <w:rPr>
          <w:rFonts w:ascii="Times New Roman" w:hAnsi="Times New Roman" w:cs="Times New Roman"/>
          <w:sz w:val="22"/>
          <w:szCs w:val="22"/>
          <w:lang w:val="sk-SK"/>
        </w:rPr>
        <w:t xml:space="preserve"> zmeny schémy uvedené v bode 2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iné než zmeny, ktoré nemôžu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ovplyvniť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zlučiteľnosť schémy pomoci</w:t>
      </w:r>
      <w:r w:rsidR="007C6C12">
        <w:rPr>
          <w:rFonts w:ascii="Times New Roman" w:hAnsi="Times New Roman" w:cs="Times New Roman"/>
          <w:sz w:val="22"/>
          <w:szCs w:val="22"/>
          <w:lang w:val="sk-SK"/>
        </w:rPr>
        <w:t xml:space="preserve"> s nariadením Komisie (EÚ) č.702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/2014 alebo nemôžu výrazným spôsobom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ovplyvniť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obsah schváleného plánu hodnotenia;</w:t>
      </w:r>
    </w:p>
    <w:p w:rsidR="0021478B" w:rsidRDefault="0021478B" w:rsidP="008F7BB0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na  pomoc na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činnosti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súvisiace s vývozom do tretích krajín alebo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členských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štátov, konkrétne pomoc priamo súvisiacu s vyvážanými množstvami, so zriadením a prevádzkovaním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distribučnej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siete alebo inými bežnými </w:t>
      </w:r>
      <w:r w:rsidR="00B91474">
        <w:rPr>
          <w:rFonts w:ascii="Times New Roman" w:hAnsi="Times New Roman" w:cs="Times New Roman"/>
          <w:sz w:val="22"/>
          <w:szCs w:val="22"/>
          <w:lang w:val="sk-SK"/>
        </w:rPr>
        <w:t>nákladmi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sú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visiacimi s vývoznou činnosťou</w:t>
      </w:r>
      <w:r>
        <w:rPr>
          <w:rFonts w:ascii="Times New Roman" w:hAnsi="Times New Roman" w:cs="Times New Roman"/>
          <w:sz w:val="22"/>
          <w:szCs w:val="22"/>
          <w:lang w:val="sk-SK"/>
        </w:rPr>
        <w:t>;</w:t>
      </w:r>
    </w:p>
    <w:p w:rsidR="0021478B" w:rsidRDefault="0021478B" w:rsidP="008F7BB0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na pomoc, ktorá je podmienená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uprednostňovaním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používania domáceho tovaru pred tovarom dovážaným;</w:t>
      </w:r>
    </w:p>
    <w:p w:rsidR="0021478B" w:rsidRDefault="0021478B" w:rsidP="008F7BB0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na pomoc</w:t>
      </w:r>
      <w:r w:rsidR="00E326B2">
        <w:rPr>
          <w:rFonts w:ascii="Times New Roman" w:hAnsi="Times New Roman" w:cs="Times New Roman"/>
          <w:sz w:val="22"/>
          <w:szCs w:val="22"/>
          <w:lang w:val="sk-SK"/>
        </w:rPr>
        <w:t>, ktorá výslovne nevylučuje vyplatenie individuálnej pomoci podniku, voči ktorému sa nárokuje vrátenie pomoci na základe predchádzajúceho rozhodnutia Komisie</w:t>
      </w:r>
      <w:r w:rsidR="000B57C2">
        <w:rPr>
          <w:rFonts w:ascii="Times New Roman" w:hAnsi="Times New Roman" w:cs="Times New Roman"/>
          <w:sz w:val="22"/>
          <w:szCs w:val="22"/>
          <w:lang w:val="sk-SK"/>
        </w:rPr>
        <w:t>, ktorým sa táto pomoc vyhlasuje za neoprávnenú a nezlučiteľnú s vnútorným trhom</w:t>
      </w:r>
      <w:r>
        <w:rPr>
          <w:rFonts w:ascii="Times New Roman" w:hAnsi="Times New Roman" w:cs="Times New Roman"/>
          <w:sz w:val="22"/>
          <w:szCs w:val="22"/>
          <w:lang w:val="sk-SK"/>
        </w:rPr>
        <w:t>;</w:t>
      </w:r>
    </w:p>
    <w:p w:rsidR="0021478B" w:rsidRDefault="0021478B" w:rsidP="008F7BB0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na pomoc </w:t>
      </w:r>
      <w:r>
        <w:rPr>
          <w:rFonts w:ascii="Times New Roman" w:hAnsi="Times New Roman" w:cs="Times New Roman"/>
          <w:i/>
          <w:iCs/>
          <w:sz w:val="22"/>
          <w:szCs w:val="22"/>
          <w:lang w:val="sk-SK"/>
        </w:rPr>
        <w:t>ad hoc</w:t>
      </w:r>
      <w:r>
        <w:rPr>
          <w:rFonts w:ascii="Times New Roman" w:hAnsi="Times New Roman" w:cs="Times New Roman"/>
          <w:sz w:val="22"/>
          <w:szCs w:val="22"/>
          <w:lang w:val="sk-SK"/>
        </w:rPr>
        <w:t>;</w:t>
      </w:r>
    </w:p>
    <w:p w:rsidR="0021478B" w:rsidRDefault="0021478B" w:rsidP="008F7BB0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na pomoc </w:t>
      </w:r>
      <w:r w:rsidR="000B57C2">
        <w:rPr>
          <w:rFonts w:ascii="Times New Roman" w:hAnsi="Times New Roman" w:cs="Times New Roman"/>
          <w:sz w:val="22"/>
          <w:szCs w:val="22"/>
          <w:lang w:val="sk-SK"/>
        </w:rPr>
        <w:t>podnikom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v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ažkostiach; podnikom v ťažkostiach sa rozumie </w:t>
      </w:r>
      <w:r w:rsidR="000B57C2">
        <w:rPr>
          <w:rFonts w:ascii="Times New Roman" w:hAnsi="Times New Roman" w:cs="Times New Roman"/>
          <w:sz w:val="22"/>
          <w:szCs w:val="22"/>
          <w:lang w:val="sk-SK"/>
        </w:rPr>
        <w:t xml:space="preserve">podnik v zmysle článku 2, ods.14 </w:t>
      </w:r>
      <w:r w:rsidR="00A44547">
        <w:rPr>
          <w:rFonts w:ascii="Times New Roman" w:hAnsi="Times New Roman" w:cs="Times New Roman"/>
          <w:sz w:val="22"/>
          <w:szCs w:val="22"/>
          <w:lang w:val="sk-SK"/>
        </w:rPr>
        <w:t xml:space="preserve">kapitoly I </w:t>
      </w:r>
      <w:r w:rsidR="000B57C2">
        <w:rPr>
          <w:rFonts w:ascii="Times New Roman" w:hAnsi="Times New Roman" w:cs="Times New Roman"/>
          <w:sz w:val="22"/>
          <w:szCs w:val="22"/>
          <w:lang w:val="sk-SK"/>
        </w:rPr>
        <w:t>nariadenia Komisie (EÚ) č.702</w:t>
      </w:r>
      <w:r>
        <w:rPr>
          <w:rFonts w:ascii="Times New Roman" w:hAnsi="Times New Roman" w:cs="Times New Roman"/>
          <w:sz w:val="22"/>
          <w:szCs w:val="22"/>
          <w:lang w:val="sk-SK"/>
        </w:rPr>
        <w:t>/2014;</w:t>
      </w:r>
    </w:p>
    <w:p w:rsidR="0021478B" w:rsidRDefault="0021478B" w:rsidP="008F7BB0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na pomoc, ktorej samotný obsah alebo podmienky s ňou spojené alebo jej metódy financovania predstavujú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neoddeliteľné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porušenie právnych predpisov Únie, a to najmä:</w:t>
      </w:r>
    </w:p>
    <w:p w:rsidR="0021478B" w:rsidRDefault="0021478B" w:rsidP="008F7BB0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pomoc pri ktorej je poskytnutie pomoci podmienené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povinnosťou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, aby príjemca pomoci mal hlavné sídlo v SR alebo aby bol usadený predovšetkým v SR; požiadavka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mať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prevádzkareň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alebo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pobočku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v SR v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čase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vyplatenia pomoci je však dovolená; </w:t>
      </w:r>
    </w:p>
    <w:p w:rsidR="0021478B" w:rsidRDefault="0021478B" w:rsidP="008F7BB0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pomoc, pri ktorej je poskytnutie pomoci podmienené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povinnosťou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, aby príjemca pomoci používal domáce výrobky alebo služby; </w:t>
      </w:r>
    </w:p>
    <w:p w:rsidR="00F91FA1" w:rsidRPr="005A5061" w:rsidRDefault="0021478B" w:rsidP="008F7BB0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pomoc obmedzujúca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možnosť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príjemcov pomoci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využívať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výsledky </w:t>
      </w:r>
      <w:r w:rsidRPr="005A5061">
        <w:rPr>
          <w:rFonts w:ascii="Times New Roman" w:hAnsi="Times New Roman" w:cs="Times New Roman"/>
          <w:sz w:val="22"/>
          <w:szCs w:val="22"/>
          <w:lang w:val="sk-SK"/>
        </w:rPr>
        <w:t xml:space="preserve">výskumu, vývoja a inovácií v iných </w:t>
      </w:r>
      <w:r w:rsidR="00932DAB" w:rsidRPr="005A5061">
        <w:rPr>
          <w:rFonts w:ascii="Times New Roman" w:hAnsi="Times New Roman" w:cs="Times New Roman"/>
          <w:sz w:val="22"/>
          <w:szCs w:val="22"/>
          <w:lang w:val="sk-SK"/>
        </w:rPr>
        <w:t>členských</w:t>
      </w:r>
      <w:r w:rsidRPr="005A5061">
        <w:rPr>
          <w:rFonts w:ascii="Times New Roman" w:hAnsi="Times New Roman" w:cs="Times New Roman"/>
          <w:sz w:val="22"/>
          <w:szCs w:val="22"/>
          <w:lang w:val="sk-SK"/>
        </w:rPr>
        <w:t xml:space="preserve"> štátoch. </w:t>
      </w:r>
    </w:p>
    <w:p w:rsidR="009A4F0D" w:rsidRPr="005A5061" w:rsidRDefault="009A4F0D" w:rsidP="005A5061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ind w:right="-489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 w:rsidRPr="005A506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lastRenderedPageBreak/>
        <w:t>F.</w:t>
      </w:r>
      <w:r w:rsidRPr="005A506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ab/>
        <w:t xml:space="preserve">Oprávnené </w:t>
      </w:r>
      <w:r w:rsidR="00340AA3" w:rsidRPr="005A506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projekty</w:t>
      </w:r>
    </w:p>
    <w:p w:rsidR="009A4F0D" w:rsidRPr="005A5061" w:rsidRDefault="00B9229D" w:rsidP="005A5061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5A5061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F.1 </w:t>
      </w:r>
      <w:r w:rsidR="009A4F0D" w:rsidRPr="005A5061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Oprávnené projekty</w:t>
      </w:r>
      <w:r w:rsidR="009A4F0D"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sú zamerané na investície </w:t>
      </w:r>
      <w:r w:rsidR="00436140"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>príjemcu pomoci</w:t>
      </w:r>
      <w:r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>,</w:t>
      </w:r>
      <w:r w:rsidR="009A4F0D"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definovaného v</w:t>
      </w:r>
      <w:r w:rsidR="00340AA3"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> článku E</w:t>
      </w:r>
      <w:r w:rsidR="00D0194F"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tejto schémy</w:t>
      </w:r>
      <w:r w:rsidR="00CA250B"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>, zamerané na </w:t>
      </w:r>
      <w:r w:rsidR="008F7BB0">
        <w:rPr>
          <w:rFonts w:ascii="Times New Roman" w:hAnsi="Times New Roman" w:cs="Times New Roman"/>
          <w:sz w:val="22"/>
          <w:szCs w:val="22"/>
          <w:lang w:val="sk-SK"/>
        </w:rPr>
        <w:t>výstavbu nových a rekonštrukciu existujúcich lesných ciest kategórie 1L, 2L a 3L</w:t>
      </w:r>
      <w:r w:rsidR="0093139B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, ktoré sú verejnosti prístupné bezplatne a prostredníctvom ktorých sa zabezpečujú multifunkčné aspekty lesa. </w:t>
      </w:r>
      <w:r w:rsidR="00CA250B"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</w:p>
    <w:p w:rsidR="009043A0" w:rsidRPr="005A5061" w:rsidRDefault="00A44547" w:rsidP="005A5061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89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F.2</w:t>
      </w:r>
      <w:r w:rsidR="00B9229D" w:rsidRPr="005A506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9043A0" w:rsidRPr="005A506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Neoprávnené projekty</w:t>
      </w:r>
      <w:r w:rsidR="00B9229D" w:rsidRPr="005A5061">
        <w:rPr>
          <w:rFonts w:ascii="Times New Roman" w:hAnsi="Times New Roman" w:cs="Times New Roman"/>
          <w:bCs/>
          <w:kern w:val="1"/>
          <w:sz w:val="22"/>
          <w:szCs w:val="22"/>
          <w:lang w:val="sk-SK"/>
        </w:rPr>
        <w:t xml:space="preserve"> sú: </w:t>
      </w:r>
    </w:p>
    <w:p w:rsidR="003F6837" w:rsidRDefault="009043A0" w:rsidP="006F50FD">
      <w:pPr>
        <w:numPr>
          <w:ilvl w:val="0"/>
          <w:numId w:val="10"/>
        </w:numPr>
        <w:ind w:left="357" w:right="-489" w:hanging="357"/>
        <w:jc w:val="both"/>
        <w:rPr>
          <w:rFonts w:ascii="Times New Roman" w:hAnsi="Times New Roman"/>
          <w:sz w:val="22"/>
          <w:szCs w:val="22"/>
          <w:lang w:val="sk-SK" w:eastAsia="sk-SK"/>
        </w:rPr>
      </w:pPr>
      <w:r w:rsidRPr="005A5061">
        <w:rPr>
          <w:rFonts w:ascii="Times New Roman" w:hAnsi="Times New Roman"/>
          <w:sz w:val="22"/>
          <w:szCs w:val="22"/>
          <w:lang w:val="sk-SK" w:eastAsia="sk-SK"/>
        </w:rPr>
        <w:t xml:space="preserve">projekty zamerané </w:t>
      </w:r>
      <w:r w:rsidR="006F50FD">
        <w:rPr>
          <w:rFonts w:ascii="Times New Roman" w:hAnsi="Times New Roman"/>
          <w:sz w:val="22"/>
          <w:szCs w:val="22"/>
          <w:lang w:val="sk-SK" w:eastAsia="sk-SK"/>
        </w:rPr>
        <w:t>na výstavbu nových a rekonštrukciu existujúcich protipožiarnych ciest, ktoré slúžia ako prístup k objektom, vybudovaným v rámci podopatrenia 8.3</w:t>
      </w:r>
      <w:r w:rsidR="001008DF">
        <w:rPr>
          <w:rFonts w:ascii="Times New Roman" w:hAnsi="Times New Roman"/>
          <w:sz w:val="22"/>
          <w:szCs w:val="22"/>
          <w:lang w:val="sk-SK" w:eastAsia="sk-SK"/>
        </w:rPr>
        <w:t xml:space="preserve"> PRV</w:t>
      </w:r>
      <w:r w:rsidR="006F50FD">
        <w:rPr>
          <w:rFonts w:ascii="Times New Roman" w:hAnsi="Times New Roman"/>
          <w:sz w:val="22"/>
          <w:szCs w:val="22"/>
          <w:lang w:val="sk-SK" w:eastAsia="sk-SK"/>
        </w:rPr>
        <w:t>.</w:t>
      </w:r>
    </w:p>
    <w:p w:rsidR="006F50FD" w:rsidRPr="006F50FD" w:rsidRDefault="006F50FD" w:rsidP="006F50FD">
      <w:pPr>
        <w:ind w:left="357" w:right="-489"/>
        <w:jc w:val="both"/>
        <w:rPr>
          <w:rFonts w:ascii="Times New Roman" w:hAnsi="Times New Roman"/>
          <w:sz w:val="22"/>
          <w:szCs w:val="22"/>
          <w:lang w:val="sk-SK" w:eastAsia="sk-SK"/>
        </w:rPr>
      </w:pPr>
    </w:p>
    <w:p w:rsidR="00340AA3" w:rsidRDefault="00346A40" w:rsidP="005A5061">
      <w:pPr>
        <w:tabs>
          <w:tab w:val="left" w:pos="360"/>
        </w:tabs>
        <w:spacing w:after="120"/>
        <w:ind w:right="-489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G. Oprávnené náklady</w:t>
      </w:r>
    </w:p>
    <w:p w:rsidR="009A4F0D" w:rsidRPr="008853EB" w:rsidRDefault="00340AA3" w:rsidP="005A5061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G.1</w:t>
      </w:r>
      <w:r w:rsidR="00B9229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346A40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Oprávnené náklady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(s výnimkou obmedzení c</w:t>
      </w:r>
      <w:r w:rsidR="00B9229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itovaných v rámci neoprávnených </w:t>
      </w:r>
      <w:r w:rsidR="00346A40">
        <w:rPr>
          <w:rFonts w:ascii="Times New Roman" w:hAnsi="Times New Roman" w:cs="Times New Roman"/>
          <w:kern w:val="1"/>
          <w:sz w:val="22"/>
          <w:szCs w:val="22"/>
          <w:lang w:val="sk-SK"/>
        </w:rPr>
        <w:t>nákladov</w:t>
      </w:r>
      <w:r w:rsidR="00FA03B7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) sú </w:t>
      </w:r>
      <w:r w:rsidR="00346A40">
        <w:rPr>
          <w:rFonts w:ascii="Times New Roman" w:hAnsi="Times New Roman" w:cs="Times New Roman"/>
          <w:kern w:val="1"/>
          <w:sz w:val="22"/>
          <w:szCs w:val="22"/>
          <w:lang w:val="sk-SK"/>
        </w:rPr>
        <w:t>náklady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na všetky činn</w:t>
      </w:r>
      <w:r w:rsidR="00FA2CCC">
        <w:rPr>
          <w:rFonts w:ascii="Times New Roman" w:hAnsi="Times New Roman" w:cs="Times New Roman"/>
          <w:kern w:val="1"/>
          <w:sz w:val="22"/>
          <w:szCs w:val="22"/>
          <w:lang w:val="sk-SK"/>
        </w:rPr>
        <w:t>osti, ktoré sú v súlade s podporovanými činnosťami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FA03B7">
        <w:rPr>
          <w:rFonts w:ascii="Times New Roman" w:hAnsi="Times New Roman" w:cs="Times New Roman"/>
          <w:kern w:val="1"/>
          <w:sz w:val="22"/>
          <w:szCs w:val="22"/>
          <w:lang w:val="sk-SK"/>
        </w:rPr>
        <w:t>pod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opatrenia</w:t>
      </w:r>
      <w:r w:rsidR="006F50F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4</w:t>
      </w:r>
      <w:r w:rsidR="00FA03B7">
        <w:rPr>
          <w:rFonts w:ascii="Times New Roman" w:hAnsi="Times New Roman" w:cs="Times New Roman"/>
          <w:kern w:val="1"/>
          <w:sz w:val="22"/>
          <w:szCs w:val="22"/>
          <w:lang w:val="sk-SK"/>
        </w:rPr>
        <w:t>.3</w:t>
      </w:r>
      <w:r w:rsidR="006F50F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na investície týkajúce sa infraštruktúry a prístupu k lesnej pôde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a tiež sú v súlade s nariadením </w:t>
      </w:r>
      <w:r w:rsidR="00FA03B7">
        <w:rPr>
          <w:rFonts w:ascii="Times New Roman" w:hAnsi="Times New Roman" w:cs="Times New Roman"/>
          <w:kern w:val="1"/>
          <w:sz w:val="22"/>
          <w:szCs w:val="22"/>
          <w:lang w:val="sk-SK"/>
        </w:rPr>
        <w:t>EP a Rady (EÚ) č. 1305/2013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a</w:t>
      </w:r>
      <w:r w:rsidR="00FA03B7">
        <w:rPr>
          <w:rFonts w:ascii="Times New Roman" w:hAnsi="Times New Roman" w:cs="Times New Roman"/>
          <w:kern w:val="1"/>
          <w:sz w:val="22"/>
          <w:szCs w:val="22"/>
          <w:lang w:val="sk-SK"/>
        </w:rPr>
        <w:t> delegovaným nariadením Komisie (EÚ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) č. </w:t>
      </w:r>
      <w:r w:rsidR="00FA03B7">
        <w:rPr>
          <w:rFonts w:ascii="Times New Roman" w:hAnsi="Times New Roman" w:cs="Times New Roman"/>
          <w:kern w:val="1"/>
          <w:sz w:val="22"/>
          <w:szCs w:val="22"/>
          <w:lang w:val="sk-SK"/>
        </w:rPr>
        <w:t>807/2014 a </w:t>
      </w:r>
      <w:r w:rsidR="00FA03B7" w:rsidRPr="008853EB">
        <w:rPr>
          <w:rFonts w:ascii="Times New Roman" w:hAnsi="Times New Roman" w:cs="Times New Roman"/>
          <w:kern w:val="1"/>
          <w:sz w:val="22"/>
          <w:szCs w:val="22"/>
          <w:lang w:val="sk-SK"/>
        </w:rPr>
        <w:t>nariadením Komisie (EÚ) č. 702/2014</w:t>
      </w:r>
      <w:r w:rsidR="00346A40" w:rsidRPr="008853EB">
        <w:rPr>
          <w:rFonts w:ascii="Times New Roman" w:hAnsi="Times New Roman" w:cs="Times New Roman"/>
          <w:kern w:val="1"/>
          <w:sz w:val="22"/>
          <w:szCs w:val="22"/>
          <w:lang w:val="sk-SK"/>
        </w:rPr>
        <w:t>, náklady</w:t>
      </w:r>
      <w:r w:rsidR="00FA03B7" w:rsidRPr="008853EB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na</w:t>
      </w:r>
      <w:r w:rsidR="009A4F0D" w:rsidRPr="008853EB">
        <w:rPr>
          <w:rFonts w:ascii="Times New Roman" w:hAnsi="Times New Roman" w:cs="Times New Roman"/>
          <w:kern w:val="1"/>
          <w:sz w:val="22"/>
          <w:szCs w:val="22"/>
          <w:lang w:val="sk-SK"/>
        </w:rPr>
        <w:t>:</w:t>
      </w:r>
    </w:p>
    <w:p w:rsidR="006F50FD" w:rsidRPr="00ED79F9" w:rsidRDefault="00ED79F9" w:rsidP="00ED79F9">
      <w:pPr>
        <w:pStyle w:val="Odsekzoznamu"/>
        <w:numPr>
          <w:ilvl w:val="1"/>
          <w:numId w:val="25"/>
        </w:numPr>
        <w:autoSpaceDE w:val="0"/>
        <w:autoSpaceDN w:val="0"/>
        <w:adjustRightInd w:val="0"/>
        <w:ind w:left="42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výstavbu</w:t>
      </w:r>
      <w:r w:rsidR="006F50FD" w:rsidRPr="00ED79F9">
        <w:rPr>
          <w:rFonts w:ascii="Times New Roman" w:hAnsi="Times New Roman" w:cs="Times New Roman"/>
          <w:sz w:val="22"/>
          <w:szCs w:val="22"/>
          <w:lang w:val="sk-SK"/>
        </w:rPr>
        <w:t>, nadobudnutie (vrátane leasingu) alebo rek</w:t>
      </w:r>
      <w:r>
        <w:rPr>
          <w:rFonts w:ascii="Times New Roman" w:hAnsi="Times New Roman" w:cs="Times New Roman"/>
          <w:sz w:val="22"/>
          <w:szCs w:val="22"/>
          <w:lang w:val="sk-SK"/>
        </w:rPr>
        <w:t>onštrukciu</w:t>
      </w:r>
      <w:r w:rsidR="00840780" w:rsidRPr="00ED79F9">
        <w:rPr>
          <w:rFonts w:ascii="Times New Roman" w:hAnsi="Times New Roman" w:cs="Times New Roman"/>
          <w:sz w:val="22"/>
          <w:szCs w:val="22"/>
          <w:lang w:val="sk-SK"/>
        </w:rPr>
        <w:t xml:space="preserve"> nehnuteľného majetku</w:t>
      </w:r>
      <w:r w:rsidR="00830BCE">
        <w:rPr>
          <w:rFonts w:ascii="Times New Roman" w:hAnsi="Times New Roman" w:cs="Times New Roman"/>
          <w:sz w:val="22"/>
          <w:szCs w:val="22"/>
          <w:lang w:val="sk-SK"/>
        </w:rPr>
        <w:t>, pričom pozemok je oprávnený, iba ak jeho hodnota neprekračuje 10 % celkových oprávnených nákladov danej operácie</w:t>
      </w:r>
      <w:r w:rsidR="006F50FD" w:rsidRPr="00ED79F9">
        <w:rPr>
          <w:rFonts w:ascii="Times New Roman" w:hAnsi="Times New Roman" w:cs="Times New Roman"/>
          <w:sz w:val="22"/>
          <w:szCs w:val="22"/>
          <w:lang w:val="sk-SK"/>
        </w:rPr>
        <w:t>;</w:t>
      </w:r>
    </w:p>
    <w:p w:rsidR="00840780" w:rsidRDefault="00FA03B7" w:rsidP="00840780">
      <w:pPr>
        <w:pStyle w:val="Odsekzoznamu"/>
        <w:numPr>
          <w:ilvl w:val="0"/>
          <w:numId w:val="25"/>
        </w:numPr>
        <w:autoSpaceDE w:val="0"/>
        <w:autoSpaceDN w:val="0"/>
        <w:adjustRightInd w:val="0"/>
        <w:ind w:left="426" w:right="-489"/>
        <w:jc w:val="both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3C31C8">
        <w:rPr>
          <w:rFonts w:ascii="Times New Roman" w:hAnsi="Times New Roman" w:cs="Times New Roman"/>
          <w:iCs/>
          <w:sz w:val="22"/>
          <w:szCs w:val="22"/>
          <w:lang w:val="sk-SK"/>
        </w:rPr>
        <w:t>všeobe</w:t>
      </w:r>
      <w:r w:rsidR="00840780">
        <w:rPr>
          <w:rFonts w:ascii="Times New Roman" w:hAnsi="Times New Roman" w:cs="Times New Roman"/>
          <w:iCs/>
          <w:sz w:val="22"/>
          <w:szCs w:val="22"/>
          <w:lang w:val="sk-SK"/>
        </w:rPr>
        <w:t>cné náklady súvisiace s bodom 1</w:t>
      </w:r>
      <w:r w:rsidRPr="003C31C8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ako sú poplatky</w:t>
      </w:r>
      <w:r w:rsidR="00346A40" w:rsidRPr="003C31C8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</w:t>
      </w:r>
      <w:r w:rsidRPr="003C31C8">
        <w:rPr>
          <w:rFonts w:ascii="Times New Roman" w:hAnsi="Times New Roman" w:cs="Times New Roman"/>
          <w:iCs/>
          <w:sz w:val="22"/>
          <w:szCs w:val="22"/>
          <w:lang w:val="sk-SK"/>
        </w:rPr>
        <w:t>architektom, inžinierom a konzultantom, poplatky za poradenstvo v</w:t>
      </w:r>
      <w:r w:rsidR="00346A40" w:rsidRPr="003C31C8">
        <w:rPr>
          <w:rFonts w:ascii="Times New Roman" w:hAnsi="Times New Roman" w:cs="Times New Roman"/>
          <w:iCs/>
          <w:sz w:val="22"/>
          <w:szCs w:val="22"/>
          <w:lang w:val="sk-SK"/>
        </w:rPr>
        <w:t> </w:t>
      </w:r>
      <w:r w:rsidRPr="003C31C8">
        <w:rPr>
          <w:rFonts w:ascii="Times New Roman" w:hAnsi="Times New Roman" w:cs="Times New Roman"/>
          <w:iCs/>
          <w:sz w:val="22"/>
          <w:szCs w:val="22"/>
          <w:lang w:val="sk-SK"/>
        </w:rPr>
        <w:t>oblasti</w:t>
      </w:r>
      <w:r w:rsidR="00346A40" w:rsidRPr="003C31C8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</w:t>
      </w:r>
      <w:r w:rsidRPr="003C31C8">
        <w:rPr>
          <w:rFonts w:ascii="Times New Roman" w:hAnsi="Times New Roman" w:cs="Times New Roman"/>
          <w:iCs/>
          <w:sz w:val="22"/>
          <w:szCs w:val="22"/>
          <w:lang w:val="sk-SK"/>
        </w:rPr>
        <w:t>environmentálnej a ekonomickej udržateľnosti vrátane štúdií uskutočniteľnosti. Štúdie</w:t>
      </w:r>
      <w:r w:rsidR="00346A40" w:rsidRPr="003C31C8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</w:t>
      </w:r>
      <w:r w:rsidRPr="003C31C8">
        <w:rPr>
          <w:rFonts w:ascii="Times New Roman" w:hAnsi="Times New Roman" w:cs="Times New Roman"/>
          <w:iCs/>
          <w:sz w:val="22"/>
          <w:szCs w:val="22"/>
          <w:lang w:val="sk-SK"/>
        </w:rPr>
        <w:t>uskutočniteľnosti zostávajú oprávnenými aj v prípade, ak sa na základe ich výsledkov</w:t>
      </w:r>
      <w:r w:rsidR="00346A40" w:rsidRPr="003C31C8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</w:t>
      </w:r>
      <w:r w:rsidRPr="003C31C8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nebudú realizovať žiadne </w:t>
      </w:r>
      <w:r w:rsidR="00B91474">
        <w:rPr>
          <w:rFonts w:ascii="Times New Roman" w:hAnsi="Times New Roman" w:cs="Times New Roman"/>
          <w:iCs/>
          <w:sz w:val="22"/>
          <w:szCs w:val="22"/>
          <w:lang w:val="sk-SK"/>
        </w:rPr>
        <w:t>náklady</w:t>
      </w:r>
      <w:r w:rsidR="00840780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uvedené v bode 1</w:t>
      </w:r>
      <w:r w:rsidRPr="003C31C8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– max. do 15% z</w:t>
      </w:r>
      <w:r w:rsidR="00346A40" w:rsidRPr="003C31C8">
        <w:rPr>
          <w:rFonts w:ascii="Times New Roman" w:hAnsi="Times New Roman" w:cs="Times New Roman"/>
          <w:iCs/>
          <w:sz w:val="22"/>
          <w:szCs w:val="22"/>
          <w:lang w:val="sk-SK"/>
        </w:rPr>
        <w:t> </w:t>
      </w:r>
      <w:r w:rsidRPr="003C31C8">
        <w:rPr>
          <w:rFonts w:ascii="Times New Roman" w:hAnsi="Times New Roman" w:cs="Times New Roman"/>
          <w:iCs/>
          <w:sz w:val="22"/>
          <w:szCs w:val="22"/>
          <w:lang w:val="sk-SK"/>
        </w:rPr>
        <w:t>výšky</w:t>
      </w:r>
      <w:r w:rsidR="00840780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projektu;</w:t>
      </w:r>
    </w:p>
    <w:p w:rsidR="00840780" w:rsidRPr="00840780" w:rsidRDefault="00840780" w:rsidP="00840780">
      <w:pPr>
        <w:pStyle w:val="Odsekzoznamu"/>
        <w:numPr>
          <w:ilvl w:val="0"/>
          <w:numId w:val="25"/>
        </w:numPr>
        <w:autoSpaceDE w:val="0"/>
        <w:autoSpaceDN w:val="0"/>
        <w:adjustRightInd w:val="0"/>
        <w:ind w:left="426" w:right="-489"/>
        <w:jc w:val="both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840780">
        <w:rPr>
          <w:rFonts w:ascii="Times New Roman" w:hAnsi="Times New Roman" w:cs="Times New Roman"/>
          <w:bCs/>
          <w:iCs/>
          <w:sz w:val="22"/>
          <w:szCs w:val="22"/>
          <w:lang w:val="sk-SK" w:eastAsia="sk-SK"/>
        </w:rPr>
        <w:t xml:space="preserve">nehmotné investície </w:t>
      </w:r>
      <w:r w:rsidRPr="00840780">
        <w:rPr>
          <w:rFonts w:ascii="Times New Roman" w:hAnsi="Times New Roman" w:cs="Times New Roman"/>
          <w:iCs/>
          <w:sz w:val="22"/>
          <w:szCs w:val="22"/>
          <w:lang w:val="sk-SK" w:eastAsia="sk-SK"/>
        </w:rPr>
        <w:t>ako obstaranie alebo vývoj počítačového softvéru, získanie patentov, licencií, autorských práv a obchodných značiek.</w:t>
      </w:r>
    </w:p>
    <w:p w:rsidR="009A4F0D" w:rsidRPr="009A4F0D" w:rsidRDefault="009A4F0D" w:rsidP="005A5061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9A4F0D" w:rsidRDefault="00340AA3" w:rsidP="005A5061">
      <w:pPr>
        <w:widowControl w:val="0"/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G.2</w:t>
      </w:r>
      <w:r w:rsidR="00B9229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3C31C8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Neoprávnené náklady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:</w:t>
      </w:r>
    </w:p>
    <w:p w:rsidR="009A4F0D" w:rsidRPr="009A4F0D" w:rsidRDefault="003C31C8" w:rsidP="005A5061">
      <w:pPr>
        <w:widowControl w:val="0"/>
        <w:numPr>
          <w:ilvl w:val="3"/>
          <w:numId w:val="6"/>
        </w:numPr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náklady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vynalože</w:t>
      </w:r>
      <w:r w:rsidR="00411F8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né pred podaním ŽoNFP na PPA (v tomto prípade sa celý projekt </w:t>
      </w:r>
      <w:r w:rsidR="00A74413">
        <w:rPr>
          <w:rFonts w:ascii="Times New Roman" w:hAnsi="Times New Roman" w:cs="Times New Roman"/>
          <w:kern w:val="1"/>
          <w:sz w:val="22"/>
          <w:szCs w:val="22"/>
          <w:lang w:val="sk-SK"/>
        </w:rPr>
        <w:t>považuje za neoprávnený</w:t>
      </w:r>
      <w:r w:rsidR="00411F89">
        <w:rPr>
          <w:rFonts w:ascii="Times New Roman" w:hAnsi="Times New Roman" w:cs="Times New Roman"/>
          <w:kern w:val="1"/>
          <w:sz w:val="22"/>
          <w:szCs w:val="22"/>
          <w:lang w:val="sk-SK"/>
        </w:rPr>
        <w:t>)</w:t>
      </w:r>
      <w:r w:rsidR="00954ADC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s výnimkou začatia procesu obstarávania tovarov, služieb a prác, ktoré je pre Výzvy vyhlásené v roku 2015 a 2016 oprávnené od 01.12.2014. Tento bod sa nevzťahuje na všeobecné náklady, uvedené v časti G.1</w:t>
      </w:r>
      <w:r w:rsidR="00840780">
        <w:rPr>
          <w:rFonts w:ascii="Times New Roman" w:hAnsi="Times New Roman" w:cs="Times New Roman"/>
          <w:kern w:val="1"/>
          <w:sz w:val="22"/>
          <w:szCs w:val="22"/>
          <w:lang w:val="sk-SK"/>
        </w:rPr>
        <w:t>, bod 2</w:t>
      </w:r>
      <w:r w:rsidR="00954ADC">
        <w:rPr>
          <w:rFonts w:ascii="Times New Roman" w:hAnsi="Times New Roman" w:cs="Times New Roman"/>
          <w:kern w:val="1"/>
          <w:sz w:val="22"/>
          <w:szCs w:val="22"/>
          <w:lang w:val="sk-SK"/>
        </w:rPr>
        <w:t>;</w:t>
      </w:r>
    </w:p>
    <w:p w:rsidR="006F408A" w:rsidRPr="006F408A" w:rsidRDefault="006F408A" w:rsidP="005A5061">
      <w:pPr>
        <w:pStyle w:val="Odsekzoznamu"/>
        <w:numPr>
          <w:ilvl w:val="3"/>
          <w:numId w:val="6"/>
        </w:numPr>
        <w:ind w:left="284"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6F408A">
        <w:rPr>
          <w:rFonts w:ascii="Times New Roman" w:hAnsi="Times New Roman" w:cs="Times New Roman"/>
          <w:sz w:val="22"/>
          <w:szCs w:val="22"/>
          <w:lang w:val="sk-SK"/>
        </w:rPr>
        <w:t>úroky z dlžných súm;</w:t>
      </w:r>
    </w:p>
    <w:p w:rsidR="00E54799" w:rsidRPr="00E54799" w:rsidRDefault="006F408A" w:rsidP="005A5061">
      <w:pPr>
        <w:pStyle w:val="Odsekzoznamu"/>
        <w:numPr>
          <w:ilvl w:val="3"/>
          <w:numId w:val="6"/>
        </w:numPr>
        <w:ind w:left="284"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E54799">
        <w:rPr>
          <w:rFonts w:ascii="Times New Roman" w:hAnsi="Times New Roman" w:cs="Times New Roman"/>
          <w:sz w:val="22"/>
          <w:szCs w:val="22"/>
          <w:lang w:val="sk-SK"/>
        </w:rPr>
        <w:t>kúpa nezastavaného a zastavaného pozemku</w:t>
      </w:r>
      <w:r w:rsidR="00E54799" w:rsidRPr="00E54799">
        <w:rPr>
          <w:rFonts w:ascii="Times New Roman" w:hAnsi="Times New Roman" w:cs="Times New Roman"/>
          <w:sz w:val="22"/>
          <w:szCs w:val="22"/>
          <w:lang w:val="sk-SK"/>
        </w:rPr>
        <w:t xml:space="preserve">, ak jeho hodnota prekračuje </w:t>
      </w:r>
      <w:r w:rsidR="00E54799">
        <w:rPr>
          <w:rFonts w:ascii="Times New Roman" w:hAnsi="Times New Roman" w:cs="Times New Roman"/>
          <w:sz w:val="22"/>
          <w:szCs w:val="22"/>
          <w:lang w:val="sk-SK"/>
        </w:rPr>
        <w:t>10</w:t>
      </w:r>
      <w:r w:rsidRPr="00E54799">
        <w:rPr>
          <w:rFonts w:ascii="Times New Roman" w:hAnsi="Times New Roman" w:cs="Times New Roman"/>
          <w:sz w:val="22"/>
          <w:szCs w:val="22"/>
          <w:lang w:val="sk-SK"/>
        </w:rPr>
        <w:t xml:space="preserve">% celkových oprávnených </w:t>
      </w:r>
      <w:r w:rsidR="00B91474" w:rsidRPr="00E54799">
        <w:rPr>
          <w:rFonts w:ascii="Times New Roman" w:hAnsi="Times New Roman" w:cs="Times New Roman"/>
          <w:sz w:val="22"/>
          <w:szCs w:val="22"/>
          <w:lang w:val="sk-SK"/>
        </w:rPr>
        <w:t>náklado</w:t>
      </w:r>
      <w:r w:rsidR="00E54799">
        <w:rPr>
          <w:rFonts w:ascii="Times New Roman" w:hAnsi="Times New Roman" w:cs="Times New Roman"/>
          <w:sz w:val="22"/>
          <w:szCs w:val="22"/>
          <w:lang w:val="sk-SK"/>
        </w:rPr>
        <w:t>v na príslušnú operáciu;</w:t>
      </w:r>
    </w:p>
    <w:p w:rsidR="00EB1471" w:rsidRPr="00E54799" w:rsidRDefault="009A4F0D" w:rsidP="005A5061">
      <w:pPr>
        <w:pStyle w:val="Odsekzoznamu"/>
        <w:numPr>
          <w:ilvl w:val="3"/>
          <w:numId w:val="6"/>
        </w:numPr>
        <w:ind w:left="284"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E54799">
        <w:rPr>
          <w:rFonts w:ascii="Times New Roman" w:hAnsi="Times New Roman" w:cs="Times New Roman"/>
          <w:kern w:val="1"/>
          <w:sz w:val="22"/>
          <w:szCs w:val="22"/>
          <w:lang w:val="sk-SK"/>
        </w:rPr>
        <w:t>daň z pridanej hod</w:t>
      </w:r>
      <w:r w:rsidR="00232074" w:rsidRPr="00E54799">
        <w:rPr>
          <w:rFonts w:ascii="Times New Roman" w:hAnsi="Times New Roman" w:cs="Times New Roman"/>
          <w:kern w:val="1"/>
          <w:sz w:val="22"/>
          <w:szCs w:val="22"/>
          <w:lang w:val="sk-SK"/>
        </w:rPr>
        <w:t>noty okrem prípadov, ak nie je vymáhateľná podľa</w:t>
      </w:r>
      <w:r w:rsidR="00954ADC" w:rsidRPr="00E5479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vnútroštátnych predpisov o DPH;</w:t>
      </w:r>
    </w:p>
    <w:p w:rsidR="00A15F15" w:rsidRDefault="003C31C8" w:rsidP="005A5061">
      <w:pPr>
        <w:pStyle w:val="Odsekzoznamu"/>
        <w:numPr>
          <w:ilvl w:val="3"/>
          <w:numId w:val="6"/>
        </w:numPr>
        <w:ind w:left="284"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náklady</w:t>
      </w:r>
      <w:r w:rsidR="00954ADC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840780">
        <w:rPr>
          <w:rFonts w:ascii="Times New Roman" w:hAnsi="Times New Roman" w:cs="Times New Roman"/>
          <w:kern w:val="1"/>
          <w:sz w:val="22"/>
          <w:szCs w:val="22"/>
          <w:lang w:val="sk-SK"/>
        </w:rPr>
        <w:t>iné ako náklady uvedené v odseku G1, bodu 1, súvisiace s leasingovými zmluvami, ako napríklad marža prenajímateľa, náklady na refinancovanie úrokov, režijné náklady a poistné poplatky</w:t>
      </w:r>
      <w:r w:rsidR="00A15F15">
        <w:rPr>
          <w:rFonts w:ascii="Times New Roman" w:hAnsi="Times New Roman" w:cs="Times New Roman"/>
          <w:kern w:val="1"/>
          <w:sz w:val="22"/>
          <w:szCs w:val="22"/>
          <w:lang w:val="sk-SK"/>
        </w:rPr>
        <w:t>;</w:t>
      </w:r>
    </w:p>
    <w:p w:rsidR="00954ADC" w:rsidRDefault="00A15F15" w:rsidP="005A5061">
      <w:pPr>
        <w:pStyle w:val="Odsekzoznamu"/>
        <w:numPr>
          <w:ilvl w:val="3"/>
          <w:numId w:val="6"/>
        </w:numPr>
        <w:ind w:left="284"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prevádzkový kapitál.</w:t>
      </w:r>
      <w:r w:rsidR="00954ADC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</w:p>
    <w:p w:rsidR="00525CDD" w:rsidRDefault="00525CDD" w:rsidP="005A5061">
      <w:pPr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525CDD" w:rsidRPr="00D92909" w:rsidRDefault="004A2F1D" w:rsidP="005A5061">
      <w:pPr>
        <w:ind w:right="-489"/>
        <w:jc w:val="both"/>
        <w:rPr>
          <w:b/>
          <w:sz w:val="32"/>
          <w:szCs w:val="32"/>
          <w:lang w:val="fr-BE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G.3 </w:t>
      </w:r>
      <w:r w:rsidR="00525CD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Bližšia špecifikácia oprávnených a neoprávnených </w:t>
      </w:r>
      <w:r w:rsidR="003C31C8">
        <w:rPr>
          <w:rFonts w:ascii="Times New Roman" w:hAnsi="Times New Roman" w:cs="Times New Roman"/>
          <w:kern w:val="1"/>
          <w:sz w:val="22"/>
          <w:szCs w:val="22"/>
          <w:lang w:val="sk-SK"/>
        </w:rPr>
        <w:t>nákladov</w:t>
      </w:r>
      <w:r w:rsidR="00525CD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bude uvedená </w:t>
      </w:r>
      <w:r w:rsidR="00525CDD">
        <w:rPr>
          <w:rFonts w:ascii="Times New Roman" w:hAnsi="Times New Roman" w:cs="Times New Roman"/>
          <w:sz w:val="22"/>
          <w:szCs w:val="22"/>
          <w:lang w:val="fr-BE"/>
        </w:rPr>
        <w:t xml:space="preserve">v Príručke pre žiadateľa a </w:t>
      </w:r>
      <w:r w:rsidR="003C31C8">
        <w:rPr>
          <w:rFonts w:ascii="Times New Roman" w:hAnsi="Times New Roman" w:cs="Times New Roman"/>
          <w:sz w:val="22"/>
          <w:szCs w:val="22"/>
          <w:lang w:val="fr-BE"/>
        </w:rPr>
        <w:t xml:space="preserve">vo </w:t>
      </w:r>
      <w:r w:rsidR="00525CDD">
        <w:rPr>
          <w:rFonts w:ascii="Times New Roman" w:hAnsi="Times New Roman" w:cs="Times New Roman"/>
          <w:sz w:val="22"/>
          <w:szCs w:val="22"/>
          <w:lang w:val="fr-BE"/>
        </w:rPr>
        <w:t>Výzve na predkladanie Žiadostí o po</w:t>
      </w:r>
      <w:r w:rsidR="00A15F15">
        <w:rPr>
          <w:rFonts w:ascii="Times New Roman" w:hAnsi="Times New Roman" w:cs="Times New Roman"/>
          <w:sz w:val="22"/>
          <w:szCs w:val="22"/>
          <w:lang w:val="fr-BE"/>
        </w:rPr>
        <w:t>skytnutie NFP pre podopatrenie 4</w:t>
      </w:r>
      <w:r w:rsidR="00525CDD">
        <w:rPr>
          <w:rFonts w:ascii="Times New Roman" w:hAnsi="Times New Roman" w:cs="Times New Roman"/>
          <w:sz w:val="22"/>
          <w:szCs w:val="22"/>
          <w:lang w:val="fr-BE"/>
        </w:rPr>
        <w:t>.3</w:t>
      </w:r>
      <w:r w:rsidR="00A15F15">
        <w:rPr>
          <w:rFonts w:ascii="Times New Roman" w:hAnsi="Times New Roman" w:cs="Times New Roman"/>
          <w:sz w:val="22"/>
          <w:szCs w:val="22"/>
          <w:lang w:val="fr-BE"/>
        </w:rPr>
        <w:t xml:space="preserve"> – investície týkajúce sa infraštruktúry a prístupu k lesnej pôde</w:t>
      </w:r>
      <w:r w:rsidR="00525CDD">
        <w:rPr>
          <w:rFonts w:ascii="Times New Roman" w:hAnsi="Times New Roman" w:cs="Times New Roman"/>
          <w:sz w:val="22"/>
          <w:szCs w:val="22"/>
          <w:lang w:val="fr-BE"/>
        </w:rPr>
        <w:t xml:space="preserve">. </w:t>
      </w:r>
    </w:p>
    <w:p w:rsidR="009A4F0D" w:rsidRPr="009A4F0D" w:rsidRDefault="009A4F0D" w:rsidP="005A506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9A4F0D" w:rsidRDefault="00340AA3" w:rsidP="005A506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H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.</w:t>
      </w:r>
      <w:r w:rsidR="0033509A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Forma pomoci</w:t>
      </w:r>
      <w:r w:rsidR="00EB147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</w:p>
    <w:p w:rsidR="009A4F0D" w:rsidRDefault="004A2F1D" w:rsidP="005A506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H.1 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Pomoc podľa tejto schémy sa poskytuje formou </w:t>
      </w:r>
      <w:r w:rsidR="001F03E0">
        <w:rPr>
          <w:rFonts w:ascii="Times New Roman" w:hAnsi="Times New Roman" w:cs="Times New Roman"/>
          <w:kern w:val="1"/>
          <w:sz w:val="22"/>
          <w:szCs w:val="22"/>
          <w:lang w:val="sk-SK"/>
        </w:rPr>
        <w:t>NFP</w:t>
      </w:r>
      <w:r w:rsidR="00A87C73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- grantu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z PRV, ktorý bude poskytnutý formou refundácie na základe predloženia účtovných dokladov preukazujúcich skut</w:t>
      </w:r>
      <w:r w:rsidR="0000318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očnú výšku oprávnených </w:t>
      </w:r>
      <w:r w:rsidR="00B91474">
        <w:rPr>
          <w:rFonts w:ascii="Times New Roman" w:hAnsi="Times New Roman" w:cs="Times New Roman"/>
          <w:kern w:val="1"/>
          <w:sz w:val="22"/>
          <w:szCs w:val="22"/>
          <w:lang w:val="sk-SK"/>
        </w:rPr>
        <w:t>nákladov</w:t>
      </w:r>
      <w:r w:rsidR="00D742E2">
        <w:rPr>
          <w:rFonts w:ascii="Times New Roman" w:hAnsi="Times New Roman" w:cs="Times New Roman"/>
          <w:kern w:val="1"/>
          <w:sz w:val="22"/>
          <w:szCs w:val="22"/>
          <w:lang w:val="sk-SK"/>
        </w:rPr>
        <w:t>, s možnosťou poskytnutia zálohovej platby do výšky max. 50% oprávnených nákladov</w:t>
      </w:r>
      <w:r w:rsidR="00A15F15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</w:p>
    <w:p w:rsidR="00A15F15" w:rsidRPr="009A4F0D" w:rsidRDefault="00A15F15" w:rsidP="005A506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9A4F0D" w:rsidRDefault="00340AA3" w:rsidP="005A5061">
      <w:pPr>
        <w:widowControl w:val="0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I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.</w:t>
      </w:r>
      <w:r w:rsidR="00EB147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9A4F0D" w:rsidRPr="007C33F9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Výška a intenzita pomoci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</w:p>
    <w:p w:rsidR="009A4F0D" w:rsidRPr="009A4F0D" w:rsidRDefault="004A2F1D" w:rsidP="004A2F1D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lastRenderedPageBreak/>
        <w:t xml:space="preserve">I.1 </w:t>
      </w:r>
      <w:r w:rsidR="00525CDD">
        <w:rPr>
          <w:rFonts w:ascii="Times New Roman" w:hAnsi="Times New Roman" w:cs="Times New Roman"/>
          <w:kern w:val="1"/>
          <w:sz w:val="22"/>
          <w:szCs w:val="22"/>
          <w:lang w:val="sk-SK"/>
        </w:rPr>
        <w:t>I</w:t>
      </w:r>
      <w:r w:rsidR="00156880">
        <w:rPr>
          <w:rFonts w:ascii="Times New Roman" w:hAnsi="Times New Roman" w:cs="Times New Roman"/>
          <w:kern w:val="1"/>
          <w:sz w:val="22"/>
          <w:szCs w:val="22"/>
          <w:lang w:val="sk-SK"/>
        </w:rPr>
        <w:t>ntenzita</w:t>
      </w:r>
      <w:r w:rsidR="00156880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pomoci </w:t>
      </w:r>
      <w:r w:rsidR="00B91474">
        <w:rPr>
          <w:rFonts w:ascii="Times New Roman" w:hAnsi="Times New Roman" w:cs="Times New Roman"/>
          <w:kern w:val="1"/>
          <w:sz w:val="22"/>
          <w:szCs w:val="22"/>
          <w:lang w:val="sk-SK"/>
        </w:rPr>
        <w:t>z celkových oprávnených nákladov</w:t>
      </w:r>
      <w:r w:rsidR="00525CD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je </w:t>
      </w:r>
      <w:r w:rsidR="00A15F15">
        <w:rPr>
          <w:rFonts w:ascii="Times New Roman" w:hAnsi="Times New Roman" w:cs="Times New Roman"/>
          <w:kern w:val="1"/>
          <w:sz w:val="22"/>
          <w:szCs w:val="22"/>
          <w:lang w:val="sk-SK"/>
        </w:rPr>
        <w:t>80</w:t>
      </w:r>
      <w:r w:rsidR="00525CD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%. </w:t>
      </w:r>
      <w:r w:rsidR="00CD66C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Intenzita pomoci je v rámci povoleného stropu pomoci, podľa čl.40, ods.8 kapitoly III nariadenia Komisie (EÚ) č.702/2014. </w:t>
      </w:r>
    </w:p>
    <w:p w:rsidR="009A4F0D" w:rsidRPr="009A4F0D" w:rsidRDefault="004A2F1D" w:rsidP="004A2F1D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I.2 </w:t>
      </w:r>
      <w:r w:rsidR="003C31C8">
        <w:rPr>
          <w:rFonts w:ascii="Times New Roman" w:hAnsi="Times New Roman" w:cs="Times New Roman"/>
          <w:kern w:val="1"/>
          <w:sz w:val="22"/>
          <w:szCs w:val="22"/>
          <w:lang w:val="sk-SK"/>
        </w:rPr>
        <w:t>Výška oprávnených nákladov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na 1 projekt je uvedená vo Výzve na </w:t>
      </w:r>
      <w:r w:rsidR="00525CDD">
        <w:rPr>
          <w:rFonts w:ascii="Times New Roman" w:hAnsi="Times New Roman" w:cs="Times New Roman"/>
          <w:kern w:val="1"/>
          <w:sz w:val="22"/>
          <w:szCs w:val="22"/>
          <w:lang w:val="sk-SK"/>
        </w:rPr>
        <w:t>predkladanie Žiadostí o poskytnutie NFP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, ktorú zverejní </w:t>
      </w:r>
      <w:r w:rsidR="00525CDD">
        <w:rPr>
          <w:rFonts w:ascii="Times New Roman" w:hAnsi="Times New Roman" w:cs="Times New Roman"/>
          <w:kern w:val="1"/>
          <w:sz w:val="22"/>
          <w:szCs w:val="22"/>
          <w:lang w:val="sk-SK"/>
        </w:rPr>
        <w:t>PPA na svojom webovom sídle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.  </w:t>
      </w:r>
    </w:p>
    <w:p w:rsidR="009A4F0D" w:rsidRPr="009A4F0D" w:rsidRDefault="004A2F1D" w:rsidP="004A2F1D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I.3 </w:t>
      </w:r>
      <w:r w:rsidR="00E35194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Na účely výpočtu intenzity pomoci a oprávnených nákladov sa použijú číselné údaje pred odpočítaním daní alebo iných poplatkov. Oprávnené náklady sú doložené príslušnou dokumentáciou, ktorá je prehľadná, konkrétna a aktuálna. 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V prípade, že </w:t>
      </w:r>
      <w:r w:rsid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sa 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oprávnené </w:t>
      </w:r>
      <w:r w:rsidR="003C31C8">
        <w:rPr>
          <w:rFonts w:ascii="Times New Roman" w:hAnsi="Times New Roman" w:cs="Times New Roman"/>
          <w:kern w:val="1"/>
          <w:sz w:val="22"/>
          <w:szCs w:val="22"/>
          <w:lang w:val="sk-SK"/>
        </w:rPr>
        <w:t>náklady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a poskytovanie pomoci uplatňujú v priebehu viacerých rokov, je potrebné na výpočet in</w:t>
      </w:r>
      <w:r w:rsidR="008A4FC0">
        <w:rPr>
          <w:rFonts w:ascii="Times New Roman" w:hAnsi="Times New Roman" w:cs="Times New Roman"/>
          <w:kern w:val="1"/>
          <w:sz w:val="22"/>
          <w:szCs w:val="22"/>
          <w:lang w:val="sk-SK"/>
        </w:rPr>
        <w:t>tenzity pomoci použiť diskont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>né sadzby</w:t>
      </w:r>
      <w:r w:rsidR="00E5464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uplatniteľné v čase poskytnutia pomoci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>. Základom pre výpočet diskontnej sadzby je základná sadzba</w:t>
      </w:r>
      <w:r w:rsidR="00E5464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pre výpočet referenčnej sadzby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, ktorej aktuálna hodnota je uverejnená na webovom sídle </w:t>
      </w:r>
      <w:hyperlink r:id="rId10" w:history="1">
        <w:r w:rsidR="00E54799" w:rsidRPr="001669F4">
          <w:rPr>
            <w:rStyle w:val="Hypertextovprepojenie"/>
            <w:rFonts w:ascii="Times New Roman" w:hAnsi="Times New Roman" w:cs="Times New Roman"/>
            <w:kern w:val="1"/>
            <w:sz w:val="22"/>
            <w:szCs w:val="22"/>
            <w:lang w:val="sk-SK"/>
          </w:rPr>
          <w:t>www.statnapomoc.sk</w:t>
        </w:r>
      </w:hyperlink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  <w:r w:rsidR="00E5479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>Intenzita pomoci sa vypočíta podľa vzorca (diskont</w:t>
      </w:r>
      <w:r w:rsidR="007D1A45">
        <w:rPr>
          <w:rFonts w:ascii="Times New Roman" w:hAnsi="Times New Roman" w:cs="Times New Roman"/>
          <w:kern w:val="1"/>
          <w:sz w:val="22"/>
          <w:szCs w:val="22"/>
          <w:lang w:val="sk-SK"/>
        </w:rPr>
        <w:t>ovan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>á výška pomoc</w:t>
      </w:r>
      <w:r w:rsidR="003C31C8">
        <w:rPr>
          <w:rFonts w:ascii="Times New Roman" w:hAnsi="Times New Roman" w:cs="Times New Roman"/>
          <w:kern w:val="1"/>
          <w:sz w:val="22"/>
          <w:szCs w:val="22"/>
          <w:lang w:val="sk-SK"/>
        </w:rPr>
        <w:t>i/diskontované oprávnené náklady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>) x 100 a vyjadruje sa v percentách.</w:t>
      </w:r>
    </w:p>
    <w:p w:rsidR="009A4F0D" w:rsidRDefault="009A4F0D" w:rsidP="005A506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6972EA" w:rsidRDefault="00340AA3" w:rsidP="005A506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kern w:val="1"/>
          <w:sz w:val="22"/>
          <w:szCs w:val="22"/>
          <w:lang w:val="sk-SK"/>
        </w:rPr>
      </w:pPr>
      <w:r w:rsidRPr="00B761A2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J</w:t>
      </w:r>
      <w:r w:rsidR="006972EA" w:rsidRPr="00B761A2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. Stimulačný účinok</w:t>
      </w:r>
    </w:p>
    <w:p w:rsidR="006972EA" w:rsidRDefault="004A2F1D" w:rsidP="005A506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J.1 </w:t>
      </w:r>
      <w:r w:rsidR="006972EA">
        <w:rPr>
          <w:rFonts w:ascii="Times New Roman" w:hAnsi="Times New Roman" w:cs="Times New Roman"/>
          <w:kern w:val="1"/>
          <w:sz w:val="22"/>
          <w:szCs w:val="22"/>
          <w:lang w:val="sk-SK"/>
        </w:rPr>
        <w:t>Táto schéma sa uplatňuje len na pomoc, ktorá má stimulačný účinok. Pomoc sa pokladá za pomoc, ktorá má stimulačný účinok, ak príjemca pom</w:t>
      </w:r>
      <w:r w:rsidR="00DB7ABF">
        <w:rPr>
          <w:rFonts w:ascii="Times New Roman" w:hAnsi="Times New Roman" w:cs="Times New Roman"/>
          <w:kern w:val="1"/>
          <w:sz w:val="22"/>
          <w:szCs w:val="22"/>
          <w:lang w:val="sk-SK"/>
        </w:rPr>
        <w:t>oci podá písomnú ŽoNFP</w:t>
      </w:r>
      <w:r w:rsidR="006972EA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pred začatím práce na projekte alebo činnosti. </w:t>
      </w:r>
      <w:r w:rsidR="001A780D">
        <w:rPr>
          <w:rFonts w:ascii="Times New Roman" w:hAnsi="Times New Roman" w:cs="Times New Roman"/>
          <w:kern w:val="1"/>
          <w:sz w:val="22"/>
          <w:szCs w:val="22"/>
          <w:lang w:val="sk-SK"/>
        </w:rPr>
        <w:t>ŽoNFP</w:t>
      </w:r>
      <w:r w:rsidR="006972EA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obsahuje minimálne nasledovné informácie:</w:t>
      </w:r>
    </w:p>
    <w:p w:rsidR="006972EA" w:rsidRDefault="006972EA" w:rsidP="005A5061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názov a veľkosť podniku;</w:t>
      </w:r>
    </w:p>
    <w:p w:rsidR="006972EA" w:rsidRDefault="006972EA" w:rsidP="005A5061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opis projektu </w:t>
      </w:r>
      <w:r w:rsidR="00DB7ABF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alebo činnosti 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vrátane dátumu jeho začatia a ukončenia;</w:t>
      </w:r>
    </w:p>
    <w:p w:rsidR="006972EA" w:rsidRDefault="006972EA" w:rsidP="005A5061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miesto </w:t>
      </w:r>
      <w:r w:rsidR="00DB7ABF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realizácie 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projektu</w:t>
      </w:r>
      <w:r w:rsidR="00DB7ABF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alebo činnosti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;</w:t>
      </w:r>
    </w:p>
    <w:p w:rsidR="006972EA" w:rsidRDefault="006972EA" w:rsidP="005A5061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zoznam </w:t>
      </w:r>
      <w:r w:rsidR="00DB7ABF">
        <w:rPr>
          <w:rFonts w:ascii="Times New Roman" w:hAnsi="Times New Roman" w:cs="Times New Roman"/>
          <w:kern w:val="1"/>
          <w:sz w:val="22"/>
          <w:szCs w:val="22"/>
          <w:lang w:val="sk-SK"/>
        </w:rPr>
        <w:t>oprávnených nákladov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;</w:t>
      </w:r>
    </w:p>
    <w:p w:rsidR="006972EA" w:rsidRDefault="00CD66CE" w:rsidP="005A5061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forma</w:t>
      </w:r>
      <w:r w:rsidR="006972EA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pomoci (grant) a výška verejných financií</w:t>
      </w:r>
      <w:r w:rsidR="00DB7ABF">
        <w:rPr>
          <w:rFonts w:ascii="Times New Roman" w:hAnsi="Times New Roman" w:cs="Times New Roman"/>
          <w:kern w:val="1"/>
          <w:sz w:val="22"/>
          <w:szCs w:val="22"/>
          <w:lang w:val="sk-SK"/>
        </w:rPr>
        <w:t>,</w:t>
      </w:r>
      <w:r w:rsidR="006972EA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potrebných na projekt</w:t>
      </w:r>
      <w:r w:rsidR="00DB7ABF">
        <w:rPr>
          <w:rFonts w:ascii="Times New Roman" w:hAnsi="Times New Roman" w:cs="Times New Roman"/>
          <w:kern w:val="1"/>
          <w:sz w:val="22"/>
          <w:szCs w:val="22"/>
          <w:lang w:val="sk-SK"/>
        </w:rPr>
        <w:t>/činnosť</w:t>
      </w:r>
      <w:r w:rsidR="006972EA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. </w:t>
      </w:r>
    </w:p>
    <w:p w:rsidR="006972EA" w:rsidRPr="006972EA" w:rsidRDefault="006972EA" w:rsidP="005A5061">
      <w:pPr>
        <w:pStyle w:val="Odsekzoznamu"/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4A2F1D" w:rsidRDefault="00340AA3" w:rsidP="004A2F1D">
      <w:pPr>
        <w:widowControl w:val="0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K</w:t>
      </w:r>
      <w:r w:rsidR="003F3DBB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. </w:t>
      </w:r>
      <w:r w:rsidR="009A4F0D" w:rsidRPr="00BA6E24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Podmienky poskytnutia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767EE0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pomoci</w:t>
      </w:r>
    </w:p>
    <w:p w:rsidR="00A05F5B" w:rsidRPr="004A2F1D" w:rsidRDefault="004A2F1D" w:rsidP="004A2F1D">
      <w:pPr>
        <w:widowControl w:val="0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K.1 </w:t>
      </w:r>
      <w:r w:rsidR="00A05F5B" w:rsidRPr="004A2F1D">
        <w:rPr>
          <w:rFonts w:ascii="Times New Roman" w:hAnsi="Times New Roman" w:cs="Times New Roman"/>
          <w:sz w:val="22"/>
          <w:lang w:val="sk-SK"/>
        </w:rPr>
        <w:t xml:space="preserve">Príjemca </w:t>
      </w:r>
      <w:r w:rsidR="008F04F1" w:rsidRPr="004A2F1D">
        <w:rPr>
          <w:rFonts w:ascii="Times New Roman" w:hAnsi="Times New Roman" w:cs="Times New Roman"/>
          <w:sz w:val="22"/>
          <w:lang w:val="sk-SK"/>
        </w:rPr>
        <w:t xml:space="preserve">pomoci predloží </w:t>
      </w:r>
      <w:r w:rsidR="00A05F5B" w:rsidRPr="004A2F1D">
        <w:rPr>
          <w:rFonts w:ascii="Times New Roman" w:hAnsi="Times New Roman" w:cs="Times New Roman"/>
          <w:sz w:val="22"/>
          <w:lang w:val="sk-SK"/>
        </w:rPr>
        <w:t xml:space="preserve">vyhlásenie o tom, že voči nemu nie je nárokované vrátenie pomoci na základe predchádzajúceho rozhodnutia Európskej komisie, ktorým bola poskytnutá pomoc označená za neoprávnenú a nezlučiteľnú s vnútorným trhom. </w:t>
      </w:r>
    </w:p>
    <w:p w:rsidR="0024537D" w:rsidRPr="004A2F1D" w:rsidRDefault="004A2F1D" w:rsidP="004A2F1D">
      <w:pPr>
        <w:widowControl w:val="0"/>
        <w:autoSpaceDE w:val="0"/>
        <w:autoSpaceDN w:val="0"/>
        <w:adjustRightInd w:val="0"/>
        <w:spacing w:after="120" w:line="264" w:lineRule="auto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lang w:val="sk-SK"/>
        </w:rPr>
        <w:t xml:space="preserve">K.2 </w:t>
      </w:r>
      <w:r w:rsidR="008F04F1" w:rsidRPr="004A2F1D">
        <w:rPr>
          <w:rFonts w:ascii="Times New Roman" w:hAnsi="Times New Roman" w:cs="Times New Roman"/>
          <w:sz w:val="22"/>
          <w:lang w:val="sk-SK"/>
        </w:rPr>
        <w:t xml:space="preserve">Príjemca pomoci predloží </w:t>
      </w:r>
      <w:r w:rsidR="0024537D" w:rsidRPr="004A2F1D">
        <w:rPr>
          <w:rFonts w:ascii="Times New Roman" w:hAnsi="Times New Roman" w:cs="Times New Roman"/>
          <w:sz w:val="22"/>
          <w:lang w:val="sk-SK"/>
        </w:rPr>
        <w:t xml:space="preserve">vyhlásenie o tom, že nie je podnikom v ťažkostiach, </w:t>
      </w:r>
      <w:r w:rsidR="0024537D" w:rsidRPr="004A2F1D">
        <w:rPr>
          <w:rFonts w:ascii="Times New Roman" w:hAnsi="Times New Roman" w:cs="Times New Roman"/>
          <w:sz w:val="22"/>
          <w:szCs w:val="22"/>
          <w:lang w:val="sk-SK"/>
        </w:rPr>
        <w:t xml:space="preserve">podnikom v ťažkostiach sa rozumie </w:t>
      </w:r>
      <w:r w:rsidR="009A39B2" w:rsidRPr="004A2F1D">
        <w:rPr>
          <w:rFonts w:ascii="Times New Roman" w:hAnsi="Times New Roman" w:cs="Times New Roman"/>
          <w:sz w:val="22"/>
          <w:szCs w:val="22"/>
          <w:lang w:val="sk-SK"/>
        </w:rPr>
        <w:t xml:space="preserve">podnik v zmysle článku 2, ods.14 </w:t>
      </w:r>
      <w:r w:rsidR="00B761A2">
        <w:rPr>
          <w:rFonts w:ascii="Times New Roman" w:hAnsi="Times New Roman" w:cs="Times New Roman"/>
          <w:sz w:val="22"/>
          <w:szCs w:val="22"/>
          <w:lang w:val="sk-SK"/>
        </w:rPr>
        <w:t xml:space="preserve">kapitoly I </w:t>
      </w:r>
      <w:r w:rsidR="009A39B2" w:rsidRPr="004A2F1D">
        <w:rPr>
          <w:rFonts w:ascii="Times New Roman" w:hAnsi="Times New Roman" w:cs="Times New Roman"/>
          <w:sz w:val="22"/>
          <w:szCs w:val="22"/>
          <w:lang w:val="sk-SK"/>
        </w:rPr>
        <w:t>nariadenia Komisie (EÚ) č.702</w:t>
      </w:r>
      <w:r w:rsidR="0024537D" w:rsidRPr="004A2F1D">
        <w:rPr>
          <w:rFonts w:ascii="Times New Roman" w:hAnsi="Times New Roman" w:cs="Times New Roman"/>
          <w:sz w:val="22"/>
          <w:szCs w:val="22"/>
          <w:lang w:val="sk-SK"/>
        </w:rPr>
        <w:t>/2014.</w:t>
      </w:r>
    </w:p>
    <w:p w:rsidR="004A2F1D" w:rsidRPr="004A2F1D" w:rsidRDefault="004A2F1D" w:rsidP="004A2F1D">
      <w:pPr>
        <w:widowControl w:val="0"/>
        <w:autoSpaceDE w:val="0"/>
        <w:autoSpaceDN w:val="0"/>
        <w:adjustRightInd w:val="0"/>
        <w:spacing w:after="120" w:line="264" w:lineRule="auto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eastAsia="Times New Roman" w:hAnsi="Times New Roman" w:cs="Times New Roman"/>
          <w:b/>
          <w:sz w:val="22"/>
          <w:lang w:val="sk-SK" w:eastAsia="sk-SK"/>
        </w:rPr>
        <w:t xml:space="preserve">K.3 </w:t>
      </w:r>
      <w:r w:rsidRPr="004A2F1D">
        <w:rPr>
          <w:rFonts w:ascii="Times New Roman" w:eastAsia="Times New Roman" w:hAnsi="Times New Roman" w:cs="Times New Roman"/>
          <w:sz w:val="22"/>
          <w:lang w:val="sk-SK" w:eastAsia="sk-SK"/>
        </w:rPr>
        <w:t xml:space="preserve">Oprávnenosť projektov na financovanie z PRV je podmienená splnením všetkých kritérií spôsobilosti stanovených pre </w:t>
      </w:r>
      <w:r>
        <w:rPr>
          <w:rFonts w:ascii="Times New Roman" w:eastAsia="Times New Roman" w:hAnsi="Times New Roman" w:cs="Times New Roman"/>
          <w:sz w:val="22"/>
          <w:lang w:val="sk-SK" w:eastAsia="sk-SK"/>
        </w:rPr>
        <w:t xml:space="preserve">podopatrenie </w:t>
      </w:r>
      <w:r w:rsidR="00B761A2">
        <w:rPr>
          <w:rFonts w:ascii="Times New Roman" w:eastAsia="Times New Roman" w:hAnsi="Times New Roman" w:cs="Times New Roman"/>
          <w:sz w:val="22"/>
          <w:lang w:val="sk-SK" w:eastAsia="sk-SK"/>
        </w:rPr>
        <w:t>4</w:t>
      </w:r>
      <w:r w:rsidRPr="004A2F1D">
        <w:rPr>
          <w:rFonts w:ascii="Times New Roman" w:eastAsia="Times New Roman" w:hAnsi="Times New Roman" w:cs="Times New Roman"/>
          <w:sz w:val="22"/>
          <w:lang w:val="sk-SK" w:eastAsia="sk-SK"/>
        </w:rPr>
        <w:t>.3</w:t>
      </w:r>
      <w:r w:rsidR="00B761A2">
        <w:rPr>
          <w:rFonts w:ascii="Times New Roman" w:eastAsia="Times New Roman" w:hAnsi="Times New Roman" w:cs="Times New Roman"/>
          <w:sz w:val="22"/>
          <w:lang w:val="sk-SK" w:eastAsia="sk-SK"/>
        </w:rPr>
        <w:t xml:space="preserve"> – investície týkajúce sa infraštruktúry a prístupu k lesnej pôde</w:t>
      </w:r>
      <w:r w:rsidRPr="004A2F1D">
        <w:rPr>
          <w:rFonts w:ascii="Times New Roman" w:eastAsia="Times New Roman" w:hAnsi="Times New Roman" w:cs="Times New Roman"/>
          <w:sz w:val="22"/>
          <w:lang w:val="sk-SK" w:eastAsia="sk-SK"/>
        </w:rPr>
        <w:t>:</w:t>
      </w:r>
    </w:p>
    <w:p w:rsidR="001C7AF5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Investície sa musia realizovať na území Slovenska.</w:t>
      </w:r>
    </w:p>
    <w:p w:rsidR="001C7AF5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Žiadateľ nemá evidované nedoplatky po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istného na zdravotné poistenie, sociálne poistenie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a príspevkov na starobné dôchodkové poistenie.</w:t>
      </w:r>
    </w:p>
    <w:p w:rsidR="001C7AF5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Žiadateľ nie je v</w:t>
      </w:r>
      <w:r w:rsidR="00D92909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D92909">
        <w:rPr>
          <w:rFonts w:ascii="Times New Roman" w:hAnsi="Times New Roman" w:cs="Times New Roman"/>
          <w:sz w:val="22"/>
          <w:szCs w:val="22"/>
          <w:lang w:val="sk-SK"/>
        </w:rPr>
        <w:t>likvidácii</w:t>
      </w:r>
      <w:r w:rsidR="00D92909" w:rsidRPr="00D92909">
        <w:rPr>
          <w:rFonts w:ascii="Times New Roman" w:hAnsi="Times New Roman" w:cs="Times New Roman"/>
          <w:sz w:val="22"/>
          <w:szCs w:val="22"/>
          <w:lang w:val="sk-SK"/>
        </w:rPr>
        <w:t xml:space="preserve"> (netýka sa  fyzických osôb uvedených  v § 2 odseku 2. písmena b), d) zákona č.513/1991 Zb. Obchodný zákonník)</w:t>
      </w:r>
      <w:r w:rsidRPr="00D92909">
        <w:rPr>
          <w:rFonts w:ascii="Times New Roman" w:hAnsi="Times New Roman" w:cs="Times New Roman"/>
          <w:sz w:val="22"/>
          <w:szCs w:val="22"/>
          <w:lang w:val="sk-SK"/>
        </w:rPr>
        <w:t>;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 nie je voči nemu v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edené konkurzné konanie; nie je v konkurze,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v reštrukturalizácii a nebol voči nemu zamietnutý návrh na vyh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lásenie konkurzu pre nedostatok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majetku; neporušil v predchádzajúcich 3 rokoch zákaz nelegálneho zamestnávania.</w:t>
      </w:r>
    </w:p>
    <w:p w:rsidR="00033B2D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Žiadateľ nemá záväzky voči štátu po lehote splatnosti, voči žiadateľ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ovi a na majetok, ktorý je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predmetom projektu, n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>ie je vedený výkon rozhodnutia.</w:t>
      </w:r>
    </w:p>
    <w:p w:rsidR="001C7AF5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Na operáciu možno poskytnúť podporu z jedného alebo viacerých EŠIF alebo 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z jedného alebo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viacerých programov a z i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ných nástrojov EÚ za podmienky,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že sa na </w:t>
      </w:r>
      <w:r w:rsidR="00B91474">
        <w:rPr>
          <w:rFonts w:ascii="Times New Roman" w:hAnsi="Times New Roman" w:cs="Times New Roman"/>
          <w:sz w:val="22"/>
          <w:szCs w:val="22"/>
          <w:lang w:val="sk-SK"/>
        </w:rPr>
        <w:t>nákladovú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 polož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ku,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zahrnutú do žia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dosti o platbu na úhradu jedným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z EŠIF, neposky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tla podpora z iného fondu alebo nástroja EÚ a SR, ani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podpora z rovnakého fondu v rámci iné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ho programu, ani podpora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z rovnakého fondu v rámci toho istého programu - čl. 65(11) nariadenia </w:t>
      </w:r>
      <w:r w:rsidR="00033B2D">
        <w:rPr>
          <w:rFonts w:ascii="Times New Roman" w:hAnsi="Times New Roman" w:cs="Times New Roman"/>
          <w:sz w:val="22"/>
          <w:szCs w:val="22"/>
          <w:lang w:val="sk-SK"/>
        </w:rPr>
        <w:t xml:space="preserve">EP a Rady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(EÚ) č. 1303/2013</w:t>
      </w:r>
      <w:r w:rsidR="00D92909">
        <w:rPr>
          <w:rFonts w:ascii="Times New Roman" w:hAnsi="Times New Roman" w:cs="Times New Roman"/>
          <w:sz w:val="22"/>
          <w:szCs w:val="22"/>
          <w:lang w:val="sk-SK"/>
        </w:rPr>
        <w:t>, ani v rámci predchádzajúceho programového obdobia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D92909" w:rsidRPr="00D92909" w:rsidRDefault="00D92909" w:rsidP="005A5061">
      <w:pPr>
        <w:pStyle w:val="Odsekzoznamu"/>
        <w:numPr>
          <w:ilvl w:val="0"/>
          <w:numId w:val="23"/>
        </w:numPr>
        <w:tabs>
          <w:tab w:val="left" w:pos="709"/>
          <w:tab w:val="left" w:pos="851"/>
        </w:tabs>
        <w:spacing w:after="120"/>
        <w:ind w:right="-489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92909"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Žiadateľ musí zabezpečiť hospodárnosť, efektívnosť a účinnosť použitia verejných prostriedkov.  </w:t>
      </w:r>
    </w:p>
    <w:p w:rsidR="00D92909" w:rsidRPr="00D92909" w:rsidRDefault="00D92909" w:rsidP="005A5061">
      <w:pPr>
        <w:pStyle w:val="Odsekzoznamu"/>
        <w:numPr>
          <w:ilvl w:val="0"/>
          <w:numId w:val="23"/>
        </w:numPr>
        <w:tabs>
          <w:tab w:val="left" w:pos="709"/>
          <w:tab w:val="left" w:pos="851"/>
        </w:tabs>
        <w:spacing w:after="120"/>
        <w:ind w:right="-489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92909">
        <w:rPr>
          <w:rFonts w:ascii="Times New Roman" w:hAnsi="Times New Roman" w:cs="Times New Roman"/>
          <w:sz w:val="22"/>
          <w:szCs w:val="22"/>
          <w:lang w:val="sk-SK"/>
        </w:rPr>
        <w:t xml:space="preserve">Žiadateľ musí dodržiavať princíp zákazu konfliktu záujmov v súlade so zákonom č. 292/2014 Z. z. o príspevku poskytovanom z európskych štrukturálnych a investičných fondov a o zmene a doplnení niektorých zákonov. </w:t>
      </w:r>
    </w:p>
    <w:p w:rsidR="00D92909" w:rsidRPr="00D92909" w:rsidRDefault="00D92909" w:rsidP="005A5061">
      <w:pPr>
        <w:pStyle w:val="Odsekzoznamu"/>
        <w:numPr>
          <w:ilvl w:val="0"/>
          <w:numId w:val="23"/>
        </w:numPr>
        <w:tabs>
          <w:tab w:val="left" w:pos="567"/>
          <w:tab w:val="left" w:pos="851"/>
        </w:tabs>
        <w:spacing w:after="120"/>
        <w:ind w:right="-489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92909">
        <w:rPr>
          <w:rFonts w:ascii="Times New Roman" w:hAnsi="Times New Roman" w:cs="Times New Roman"/>
          <w:sz w:val="22"/>
          <w:szCs w:val="22"/>
          <w:lang w:val="sk-SK"/>
        </w:rPr>
        <w:t xml:space="preserve">Žiadateľ musí mať administratívnu, finančnú a prevádzkovú kapacitu na splnenie podmienok poskytnutia podpory. </w:t>
      </w:r>
    </w:p>
    <w:p w:rsidR="00D92909" w:rsidRPr="00D92909" w:rsidRDefault="00D92909" w:rsidP="005A5061">
      <w:pPr>
        <w:pStyle w:val="Odsekzoznamu"/>
        <w:numPr>
          <w:ilvl w:val="0"/>
          <w:numId w:val="23"/>
        </w:numPr>
        <w:tabs>
          <w:tab w:val="left" w:pos="567"/>
          <w:tab w:val="left" w:pos="851"/>
        </w:tabs>
        <w:spacing w:after="120"/>
        <w:ind w:right="-489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92909">
        <w:rPr>
          <w:rFonts w:ascii="Times New Roman" w:hAnsi="Times New Roman" w:cs="Times New Roman"/>
          <w:sz w:val="22"/>
          <w:szCs w:val="22"/>
          <w:lang w:val="sk-SK"/>
        </w:rPr>
        <w:t xml:space="preserve">Operácie, ktoré budú financované z EPFRV, nesmú zahŕňať činnosti, ktoré boli súčasťou operácie, v prípade ktorej sa začalo alebo malo začať vymáhacie konanie v súlade s článkom  71 nariadenia Európskeho parlamentu a rady (EÚ) č. 1303/2013 po premiestnení výrobnej činnosti mimo EÚ. </w:t>
      </w:r>
    </w:p>
    <w:p w:rsidR="00D92909" w:rsidRDefault="00D92909" w:rsidP="005A5061">
      <w:pPr>
        <w:pStyle w:val="Odsekzoznamu"/>
        <w:numPr>
          <w:ilvl w:val="0"/>
          <w:numId w:val="23"/>
        </w:numPr>
        <w:tabs>
          <w:tab w:val="left" w:pos="567"/>
          <w:tab w:val="left" w:pos="851"/>
        </w:tabs>
        <w:spacing w:after="120"/>
        <w:ind w:right="-489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92909">
        <w:rPr>
          <w:rFonts w:ascii="Times New Roman" w:hAnsi="Times New Roman" w:cs="Times New Roman"/>
          <w:sz w:val="22"/>
          <w:szCs w:val="22"/>
          <w:lang w:val="sk-SK"/>
        </w:rPr>
        <w:t xml:space="preserve">Žiadateľ ani jeho štatutárny orgán, ani žiadny člen štatutárneho orgánu, ani prokurista/osoba splnomocnená zastupovať žiadateľa v konaní o ŽoNFP neboli právoplatne odsúdení za trestný čin korupcie, za trestný čin poškodzovania finančných záujmov EÚ, za trestný čin legalizácie príjmu z trestnej činnosti, za trestný čin založenia, zosnovania a podporovania zločineckej skupiny, alebo za trestný čin machinácie pri verejnom obstarávaní a verejnej dražbe. </w:t>
      </w:r>
    </w:p>
    <w:p w:rsidR="001C7AF5" w:rsidRPr="00D92909" w:rsidRDefault="001C7AF5" w:rsidP="005A5061">
      <w:pPr>
        <w:pStyle w:val="Odsekzoznamu"/>
        <w:numPr>
          <w:ilvl w:val="0"/>
          <w:numId w:val="23"/>
        </w:numPr>
        <w:tabs>
          <w:tab w:val="left" w:pos="567"/>
          <w:tab w:val="left" w:pos="851"/>
        </w:tabs>
        <w:spacing w:after="120"/>
        <w:ind w:right="-489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92909">
        <w:rPr>
          <w:rFonts w:ascii="Times New Roman" w:hAnsi="Times New Roman" w:cs="Times New Roman"/>
          <w:sz w:val="22"/>
          <w:szCs w:val="22"/>
          <w:lang w:val="sk-SK"/>
        </w:rPr>
        <w:t xml:space="preserve">Investícia musí byť v súlade s normami </w:t>
      </w:r>
      <w:r w:rsidR="003C31C8">
        <w:rPr>
          <w:rFonts w:ascii="Times New Roman" w:hAnsi="Times New Roman" w:cs="Times New Roman"/>
          <w:sz w:val="22"/>
          <w:szCs w:val="22"/>
          <w:lang w:val="sk-SK"/>
        </w:rPr>
        <w:t xml:space="preserve">SR a </w:t>
      </w:r>
      <w:r w:rsidRPr="00D92909">
        <w:rPr>
          <w:rFonts w:ascii="Times New Roman" w:hAnsi="Times New Roman" w:cs="Times New Roman"/>
          <w:sz w:val="22"/>
          <w:szCs w:val="22"/>
          <w:lang w:val="sk-SK"/>
        </w:rPr>
        <w:t>EÚ týkajúcimi sa danej investície</w:t>
      </w:r>
      <w:r w:rsidR="00D742E2">
        <w:rPr>
          <w:rFonts w:ascii="Times New Roman" w:hAnsi="Times New Roman" w:cs="Times New Roman"/>
          <w:sz w:val="22"/>
          <w:szCs w:val="22"/>
          <w:lang w:val="sk-SK"/>
        </w:rPr>
        <w:t xml:space="preserve"> a oblasti ochrany životného prostredia</w:t>
      </w:r>
      <w:r w:rsidRPr="00D92909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1C7AF5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Nenávratný finančný príspevok na operáciu, zahŕňajúcu investí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cie do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infraš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truktúry alebo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produktívne investície, sa musí vrátiť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, ak je operácia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počas 5 rokov od závereč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nej platby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poskytnutej prijímateľovi alebo poč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as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obdobia stanovenom v pravidlách o š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tátnej pomoci predmetom niektorej z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nasledujúcich skutočností (čl. 71 nariadenia</w:t>
      </w:r>
      <w:r w:rsidR="00033B2D">
        <w:rPr>
          <w:rFonts w:ascii="Times New Roman" w:hAnsi="Times New Roman" w:cs="Times New Roman"/>
          <w:sz w:val="22"/>
          <w:szCs w:val="22"/>
          <w:lang w:val="sk-SK"/>
        </w:rPr>
        <w:t xml:space="preserve"> EP a Rady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 (EÚ) č. 1303/2013):</w:t>
      </w:r>
    </w:p>
    <w:p w:rsidR="001C7AF5" w:rsidRPr="00033B2D" w:rsidRDefault="001C7AF5" w:rsidP="005A5061">
      <w:pPr>
        <w:pStyle w:val="Odsekzoznamu"/>
        <w:numPr>
          <w:ilvl w:val="1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i/>
          <w:iCs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>skončenia alebo premiestnenia produktívnej činnosti mimo Slovenska;</w:t>
      </w:r>
    </w:p>
    <w:p w:rsidR="001C7AF5" w:rsidRPr="00033B2D" w:rsidRDefault="001C7AF5" w:rsidP="005A5061">
      <w:pPr>
        <w:pStyle w:val="Odsekzoznamu"/>
        <w:numPr>
          <w:ilvl w:val="1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i/>
          <w:iCs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>zmeny vlastníctva položky infraštruktúry, kto</w:t>
      </w:r>
      <w:r w:rsidR="00033B2D"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rá poskytuje firme alebo orgánu verejnej </w:t>
      </w:r>
      <w:r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>moci neoprávnené zvýhodnenie;</w:t>
      </w:r>
    </w:p>
    <w:p w:rsidR="001C7AF5" w:rsidRPr="00033B2D" w:rsidRDefault="001C7AF5" w:rsidP="005A5061">
      <w:pPr>
        <w:pStyle w:val="Odsekzoznamu"/>
        <w:numPr>
          <w:ilvl w:val="1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i/>
          <w:iCs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>podstatnej zmeny, ktorá ovplyvňuje jej povahu, ciele alebo podmienky realizácie, č</w:t>
      </w:r>
      <w:r w:rsidR="00033B2D"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o by </w:t>
      </w:r>
      <w:r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>spôsobilo narušenie jej pôvodných cieľov.</w:t>
      </w:r>
    </w:p>
    <w:p w:rsidR="00033B2D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Každá investičná operácia, ak sa na ňu vzťahuje zákon č. 24/200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6 Z.z. o posudzovaní vplyvov na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životné prostredie, musí byť vopred </w:t>
      </w:r>
      <w:r w:rsidR="00D742E2">
        <w:rPr>
          <w:rFonts w:ascii="Times New Roman" w:hAnsi="Times New Roman" w:cs="Times New Roman"/>
          <w:sz w:val="22"/>
          <w:szCs w:val="22"/>
          <w:lang w:val="sk-SK"/>
        </w:rPr>
        <w:t xml:space="preserve">(pred poskytnutím pomoci)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posúdená na základe 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>tohto zákona</w:t>
      </w:r>
      <w:r w:rsidR="00D742E2">
        <w:rPr>
          <w:rFonts w:ascii="Times New Roman" w:hAnsi="Times New Roman" w:cs="Times New Roman"/>
          <w:sz w:val="22"/>
          <w:szCs w:val="22"/>
          <w:lang w:val="sk-SK"/>
        </w:rPr>
        <w:t xml:space="preserve"> a bolo jej poskytnuté povolenie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D742E2" w:rsidRDefault="001C7AF5" w:rsidP="00D742E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Žiadateľ je povinný pri obstarávaní tovarov, stavebných prác a služieb postupovať v súlade so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zákonom č. 25/2006 o verejnom obstarávaní.</w:t>
      </w:r>
    </w:p>
    <w:p w:rsidR="00D742E2" w:rsidRPr="00D742E2" w:rsidRDefault="00D742E2" w:rsidP="00D742E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Príjemca pomoci</w:t>
      </w:r>
      <w:r w:rsidRPr="00D742E2">
        <w:rPr>
          <w:rFonts w:ascii="Times New Roman" w:hAnsi="Times New Roman" w:cs="Times New Roman"/>
          <w:sz w:val="22"/>
          <w:szCs w:val="22"/>
          <w:lang w:val="sk-SK"/>
        </w:rPr>
        <w:t xml:space="preserve"> je obhospodarovateľ lesa, ktorý obhospodaruje les s minimálnou </w:t>
      </w:r>
      <w:r>
        <w:rPr>
          <w:rFonts w:ascii="Times New Roman" w:hAnsi="Times New Roman" w:cs="Times New Roman"/>
          <w:sz w:val="22"/>
          <w:szCs w:val="22"/>
          <w:lang w:val="sk-SK"/>
        </w:rPr>
        <w:t>výmerou 10ha.</w:t>
      </w:r>
    </w:p>
    <w:p w:rsidR="00D742E2" w:rsidRPr="00D742E2" w:rsidRDefault="00D742E2" w:rsidP="00D742E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742E2">
        <w:rPr>
          <w:rFonts w:ascii="Times New Roman" w:hAnsi="Times New Roman" w:cs="Times New Roman"/>
          <w:sz w:val="22"/>
          <w:szCs w:val="22"/>
          <w:lang w:val="sk-SK"/>
        </w:rPr>
        <w:t>Výstavba nových lesných ciest</w:t>
      </w:r>
      <w:r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D742E2">
        <w:rPr>
          <w:rFonts w:ascii="Times New Roman" w:hAnsi="Times New Roman" w:cs="Times New Roman"/>
          <w:sz w:val="22"/>
          <w:szCs w:val="22"/>
          <w:lang w:val="sk-SK"/>
        </w:rPr>
        <w:t xml:space="preserve"> ako aj rekonštrukcia existujúcich lesných ciest kategórie 1L, 2L a 3L bude oprávnená len na územiach, na ktorých sa budovaním ako aj rekonštrukciou lesných ciest nedosiahne ich hustota vyššia ako je optimálna (t.j. v hospodárskych lesoch hustota 20 - 25 m.ha-1 lesných ciest kategórie 1L a 2L, v ochranných lesoch 7–14 m.ha-1 lesných ciest kategórie 1L a 2L) na jeden lesný celok alebo na jedného obhospodarovateľa lesa.</w:t>
      </w:r>
    </w:p>
    <w:p w:rsidR="009A4F0D" w:rsidRPr="00D92909" w:rsidRDefault="004A2F1D" w:rsidP="005A5061">
      <w:pPr>
        <w:ind w:right="-489"/>
        <w:jc w:val="both"/>
        <w:rPr>
          <w:b/>
          <w:sz w:val="32"/>
          <w:szCs w:val="32"/>
          <w:lang w:val="fr-BE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K.4 </w:t>
      </w:r>
      <w:r w:rsidR="00033B2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Okrem stanovených podmienok poskytnutia </w:t>
      </w:r>
      <w:r w:rsid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>pomoci</w:t>
      </w:r>
      <w:r w:rsidR="00033B2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je príjemca p</w:t>
      </w:r>
      <w:r w:rsid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>omoci</w:t>
      </w:r>
      <w:r w:rsidR="00033B2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povinný spĺňať aj všetky kritéria spôsobilosti, stanovené</w:t>
      </w:r>
      <w:r w:rsidR="009A4F0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pre </w:t>
      </w:r>
      <w:r w:rsidR="001C7AF5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>pod</w:t>
      </w:r>
      <w:r w:rsidR="009A4F0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opatrenie </w:t>
      </w:r>
      <w:r w:rsidR="00D742E2">
        <w:rPr>
          <w:rFonts w:ascii="Times New Roman" w:hAnsi="Times New Roman" w:cs="Times New Roman"/>
          <w:kern w:val="1"/>
          <w:sz w:val="22"/>
          <w:szCs w:val="22"/>
          <w:lang w:val="sk-SK"/>
        </w:rPr>
        <w:t>4</w:t>
      </w:r>
      <w:r w:rsidR="00033B2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>.3</w:t>
      </w:r>
      <w:r w:rsidR="00D742E2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– investície týkajúce sa infraštruktúry a prístupu k lesnej pôde</w:t>
      </w:r>
      <w:r w:rsidR="00033B2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9A4F0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>v</w:t>
      </w:r>
      <w:r w:rsidR="00D92909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o </w:t>
      </w:r>
      <w:r w:rsidR="00D92909" w:rsidRPr="00D92909">
        <w:rPr>
          <w:rFonts w:ascii="Times New Roman" w:hAnsi="Times New Roman" w:cs="Times New Roman"/>
          <w:sz w:val="22"/>
          <w:szCs w:val="22"/>
          <w:lang w:val="fr-BE"/>
        </w:rPr>
        <w:t>Všeobe</w:t>
      </w:r>
      <w:r w:rsidR="00D92909">
        <w:rPr>
          <w:rFonts w:ascii="Times New Roman" w:hAnsi="Times New Roman" w:cs="Times New Roman"/>
          <w:sz w:val="22"/>
          <w:szCs w:val="22"/>
          <w:lang w:val="fr-BE"/>
        </w:rPr>
        <w:t>cných podmienkach</w:t>
      </w:r>
      <w:r w:rsidR="00D92909" w:rsidRPr="00D92909">
        <w:rPr>
          <w:rFonts w:ascii="Times New Roman" w:hAnsi="Times New Roman" w:cs="Times New Roman"/>
          <w:sz w:val="22"/>
          <w:szCs w:val="22"/>
          <w:lang w:val="fr-BE"/>
        </w:rPr>
        <w:t xml:space="preserve"> poskytnutia príspevku</w:t>
      </w:r>
      <w:r w:rsidR="00D92909">
        <w:rPr>
          <w:rFonts w:ascii="Times New Roman" w:hAnsi="Times New Roman" w:cs="Times New Roman"/>
          <w:sz w:val="22"/>
          <w:szCs w:val="22"/>
          <w:lang w:val="fr-BE"/>
        </w:rPr>
        <w:t>, výberových</w:t>
      </w:r>
      <w:r w:rsidR="00D92909" w:rsidRPr="00D92909">
        <w:rPr>
          <w:rFonts w:ascii="Times New Roman" w:hAnsi="Times New Roman" w:cs="Times New Roman"/>
          <w:sz w:val="22"/>
          <w:szCs w:val="22"/>
          <w:lang w:val="fr-BE"/>
        </w:rPr>
        <w:t xml:space="preserve"> kritériá</w:t>
      </w:r>
      <w:r w:rsidR="00D92909">
        <w:rPr>
          <w:rFonts w:ascii="Times New Roman" w:hAnsi="Times New Roman" w:cs="Times New Roman"/>
          <w:sz w:val="22"/>
          <w:szCs w:val="22"/>
          <w:lang w:val="fr-BE"/>
        </w:rPr>
        <w:t>ch</w:t>
      </w:r>
      <w:r w:rsidR="00D92909" w:rsidRPr="00D92909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r w:rsidR="006F408A">
        <w:rPr>
          <w:rFonts w:ascii="Times New Roman" w:hAnsi="Times New Roman" w:cs="Times New Roman"/>
          <w:sz w:val="22"/>
          <w:szCs w:val="22"/>
          <w:lang w:val="fr-BE"/>
        </w:rPr>
        <w:t>pre výber projektov a hodnotiacich</w:t>
      </w:r>
      <w:r w:rsidR="00D92909" w:rsidRPr="00D92909">
        <w:rPr>
          <w:rFonts w:ascii="Times New Roman" w:hAnsi="Times New Roman" w:cs="Times New Roman"/>
          <w:sz w:val="22"/>
          <w:szCs w:val="22"/>
          <w:lang w:val="fr-BE"/>
        </w:rPr>
        <w:t xml:space="preserve"> kritériá</w:t>
      </w:r>
      <w:r w:rsidR="006F408A">
        <w:rPr>
          <w:rFonts w:ascii="Times New Roman" w:hAnsi="Times New Roman" w:cs="Times New Roman"/>
          <w:sz w:val="22"/>
          <w:szCs w:val="22"/>
          <w:lang w:val="fr-BE"/>
        </w:rPr>
        <w:t>ch</w:t>
      </w:r>
      <w:r w:rsidR="00D92909" w:rsidRPr="00D92909">
        <w:rPr>
          <w:rFonts w:ascii="Times New Roman" w:hAnsi="Times New Roman" w:cs="Times New Roman"/>
          <w:sz w:val="22"/>
          <w:szCs w:val="22"/>
          <w:lang w:val="fr-BE"/>
        </w:rPr>
        <w:t xml:space="preserve"> pre výber projektov pre projektové opatrenia PRV SR 2014-2020</w:t>
      </w:r>
      <w:r w:rsidR="00D92909">
        <w:rPr>
          <w:rFonts w:ascii="Times New Roman" w:hAnsi="Times New Roman" w:cs="Times New Roman"/>
          <w:sz w:val="22"/>
          <w:szCs w:val="22"/>
          <w:lang w:val="fr-BE"/>
        </w:rPr>
        <w:t xml:space="preserve">, v Príručke pre žiadateľa a </w:t>
      </w:r>
      <w:r w:rsidR="003C31C8">
        <w:rPr>
          <w:rFonts w:ascii="Times New Roman" w:hAnsi="Times New Roman" w:cs="Times New Roman"/>
          <w:sz w:val="22"/>
          <w:szCs w:val="22"/>
          <w:lang w:val="fr-BE"/>
        </w:rPr>
        <w:t xml:space="preserve">vo </w:t>
      </w:r>
      <w:r w:rsidR="00D92909">
        <w:rPr>
          <w:rFonts w:ascii="Times New Roman" w:hAnsi="Times New Roman" w:cs="Times New Roman"/>
          <w:sz w:val="22"/>
          <w:szCs w:val="22"/>
          <w:lang w:val="fr-BE"/>
        </w:rPr>
        <w:t xml:space="preserve">Výzve na predkladanie Žiadostí o poskytnutie NFP. </w:t>
      </w:r>
    </w:p>
    <w:p w:rsidR="00130FE7" w:rsidRDefault="00130FE7" w:rsidP="005A5061">
      <w:pPr>
        <w:widowControl w:val="0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</w:p>
    <w:p w:rsidR="009A4F0D" w:rsidRPr="009A4F0D" w:rsidRDefault="00340AA3" w:rsidP="005A5061">
      <w:pPr>
        <w:widowControl w:val="0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L</w:t>
      </w:r>
      <w:r w:rsidR="003F3DBB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. 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Kumulácia pomoci</w:t>
      </w:r>
    </w:p>
    <w:p w:rsidR="009A4F0D" w:rsidRPr="009A4F0D" w:rsidRDefault="004A2F1D" w:rsidP="004A2F1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L.1 </w:t>
      </w:r>
      <w:r w:rsidR="00645B6E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Kumulácia štátnej pomoci je vždy viazaná na konkrétny oprávnený projekt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</w:p>
    <w:p w:rsidR="009A4F0D" w:rsidRPr="009A4F0D" w:rsidRDefault="004A2F1D" w:rsidP="004A2F1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L.2 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Ak sa financovanie zo strany Únie, ktoré centrálne spravujú inštitúcie, agentúry, spoločné podniky alebo iné orgány Únie a ktoré nie je priamo ani nepriamo pod kontrolou SR, kombinuje so 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lastRenderedPageBreak/>
        <w:t xml:space="preserve">štátnou pomocou, tak sa pri 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určovaní dodržiavania stropov, vymedzujúcich notifikačnú povinnosť a maximálne intenzity a stropy pomoci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>, zohľadňuje len táto štátna pomoc,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za predpokladu, že celková výška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verejného financovania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,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poskytnutá 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v súvislosti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s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> tým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i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istým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i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oprávneným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i náklad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>m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i, nepresahuje najvýhodnejšie miery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financovania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, stanovené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 uplatniteľných 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právnych predpisov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Únie.</w:t>
      </w:r>
    </w:p>
    <w:p w:rsidR="00F805FA" w:rsidRDefault="004A2F1D" w:rsidP="004A2F1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L.3 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Pomoc s identifikovateľnými oprávnenými </w:t>
      </w:r>
      <w:r w:rsidR="009A6DE0">
        <w:rPr>
          <w:rFonts w:ascii="Times New Roman" w:hAnsi="Times New Roman" w:cs="Times New Roman"/>
          <w:kern w:val="1"/>
          <w:sz w:val="22"/>
          <w:szCs w:val="22"/>
          <w:lang w:val="sk-SK"/>
        </w:rPr>
        <w:t>nákladmi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,</w:t>
      </w:r>
      <w:r w:rsidR="009A6DE0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F805FA">
        <w:rPr>
          <w:rFonts w:ascii="Times New Roman" w:hAnsi="Times New Roman" w:cs="Times New Roman"/>
          <w:kern w:val="1"/>
          <w:sz w:val="22"/>
          <w:szCs w:val="22"/>
          <w:lang w:val="sk-SK"/>
        </w:rPr>
        <w:t>poskytnutá prostredníctvom tejto schémy sa môže kumulovať s:</w:t>
      </w:r>
    </w:p>
    <w:p w:rsidR="00F805FA" w:rsidRDefault="00F805FA" w:rsidP="005A5061">
      <w:pPr>
        <w:pStyle w:val="Odsekzoznamu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akoukoľvek inou štátnou pomocou, pokiaľ sa 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dané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opatrenia týkajú iných identifikovateľných oprávnených nákladov;</w:t>
      </w:r>
    </w:p>
    <w:p w:rsidR="00F805FA" w:rsidRDefault="00F805FA" w:rsidP="005A5061">
      <w:pPr>
        <w:pStyle w:val="Odsekzoznamu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akoukoľvek inou štátnou pomocou v súvislosti s tými istými – čiastočne alebo úplne sa prekrývajúcimi – oprávnenými nákladmi, ak sa v dôsledku takejto kumulácie neprekročí maximálna intenzita pomoci alebo výška pomoci uplatniteľná na túto pomoc v súlade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s </w:t>
      </w:r>
      <w:r w:rsidR="000C23BC">
        <w:rPr>
          <w:rFonts w:ascii="Times New Roman" w:hAnsi="Times New Roman" w:cs="Times New Roman"/>
          <w:kern w:val="1"/>
          <w:sz w:val="22"/>
          <w:szCs w:val="22"/>
          <w:lang w:val="sk-SK"/>
        </w:rPr>
        <w:t>článkom I. tejto schémy</w:t>
      </w:r>
      <w:r w:rsidR="00B10018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</w:p>
    <w:p w:rsidR="00B10018" w:rsidRPr="004A2F1D" w:rsidRDefault="004A2F1D" w:rsidP="004A2F1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L.4 </w:t>
      </w:r>
      <w:r w:rsidR="00B10018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Pomoc, ktorá je na základe oddielov 1, 2 a 3 kapitoly III nariadenia Komisie (EÚ) č. 702/2014 oslobodená od notifikačnej povinnosti, sa nesmie kumulovať s platbami uvedenými v článku 81 ods.2 a článku 82 nariadenia EP a Rady (EÚ) č. 1305/2013 v súvislosti s rovnakými oprávnenými nákladmi, ak by v dôsledku takejto kumulácie intenzita alebo výška pomoci, presiahla úroveň intenzity alebo výšky pomoci, stanovenej v </w:t>
      </w:r>
      <w:r w:rsidR="000C23BC">
        <w:rPr>
          <w:rFonts w:ascii="Times New Roman" w:hAnsi="Times New Roman" w:cs="Times New Roman"/>
          <w:kern w:val="1"/>
          <w:sz w:val="22"/>
          <w:szCs w:val="22"/>
          <w:lang w:val="sk-SK"/>
        </w:rPr>
        <w:t>článku I. tejto schémy</w:t>
      </w:r>
      <w:r w:rsidR="00B10018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</w:p>
    <w:p w:rsidR="009A4F0D" w:rsidRPr="004A2F1D" w:rsidRDefault="004A2F1D" w:rsidP="004A2F1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L.5 </w:t>
      </w:r>
      <w:r w:rsidR="00F805FA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Pomoc poskytnutá prostredníctvom tejto schémy sa nekumuluje so žiadnou pomocou de minimis v súvislosti s tými istými oprávnenými nákladmi, ak by takáto kumulácia mala za následok intenzitu pomoci presahujúcu</w:t>
      </w:r>
      <w:r w:rsidR="0066463F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intenzitu p</w:t>
      </w:r>
      <w:r w:rsidR="00B10018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omoci stanovenú v </w:t>
      </w:r>
      <w:r w:rsidR="000C23BC">
        <w:rPr>
          <w:rFonts w:ascii="Times New Roman" w:hAnsi="Times New Roman" w:cs="Times New Roman"/>
          <w:kern w:val="1"/>
          <w:sz w:val="22"/>
          <w:szCs w:val="22"/>
          <w:lang w:val="sk-SK"/>
        </w:rPr>
        <w:t>článku I. tejto schémy</w:t>
      </w:r>
      <w:r w:rsidR="009A4F0D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</w:p>
    <w:p w:rsidR="009A4F0D" w:rsidRPr="009A4F0D" w:rsidRDefault="009A4F0D" w:rsidP="00C231AE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</w:p>
    <w:p w:rsidR="009A4F0D" w:rsidRPr="009A4F0D" w:rsidRDefault="00340AA3" w:rsidP="00C231AE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 w:rsidRPr="00C231AE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M</w:t>
      </w:r>
      <w:r w:rsidR="0066463F" w:rsidRPr="00C231AE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. </w:t>
      </w:r>
      <w:r w:rsidR="009A4F0D" w:rsidRPr="00C231AE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Mechanizmus poskytovania pomoci</w:t>
      </w:r>
    </w:p>
    <w:p w:rsidR="001A7BF9" w:rsidRPr="0065138B" w:rsidRDefault="004A2F1D" w:rsidP="0065138B">
      <w:pPr>
        <w:pStyle w:val="Zkladntext3"/>
        <w:tabs>
          <w:tab w:val="clear" w:pos="360"/>
        </w:tabs>
        <w:spacing w:after="120"/>
        <w:ind w:right="-489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M.1 </w:t>
      </w:r>
      <w:r w:rsidR="001A7BF9" w:rsidRPr="0065138B">
        <w:rPr>
          <w:sz w:val="22"/>
          <w:szCs w:val="22"/>
        </w:rPr>
        <w:t>P</w:t>
      </w:r>
      <w:r w:rsidR="001A7BF9" w:rsidRPr="0065138B">
        <w:rPr>
          <w:sz w:val="22"/>
          <w:szCs w:val="22"/>
          <w:lang w:val="sk-SK"/>
        </w:rPr>
        <w:t xml:space="preserve">PA na svojej </w:t>
      </w:r>
      <w:r w:rsidR="006B47A5">
        <w:rPr>
          <w:sz w:val="22"/>
          <w:szCs w:val="22"/>
          <w:lang w:val="sk-SK"/>
        </w:rPr>
        <w:t>webovom sídle</w:t>
      </w:r>
      <w:r w:rsidR="001A7BF9" w:rsidRPr="0065138B">
        <w:rPr>
          <w:sz w:val="22"/>
          <w:szCs w:val="22"/>
          <w:lang w:val="sk-SK"/>
        </w:rPr>
        <w:t xml:space="preserve"> </w:t>
      </w:r>
      <w:r w:rsidR="001A7BF9" w:rsidRPr="0065138B">
        <w:rPr>
          <w:sz w:val="22"/>
          <w:szCs w:val="22"/>
        </w:rPr>
        <w:t xml:space="preserve">zverejní Výzvu na predkladanie ŽoNFP </w:t>
      </w:r>
      <w:r w:rsidR="001A7BF9" w:rsidRPr="0065138B">
        <w:rPr>
          <w:sz w:val="22"/>
          <w:szCs w:val="22"/>
          <w:lang w:val="sk-SK"/>
        </w:rPr>
        <w:t>pre</w:t>
      </w:r>
      <w:r w:rsidR="001A7BF9" w:rsidRPr="0065138B">
        <w:rPr>
          <w:sz w:val="22"/>
          <w:szCs w:val="22"/>
        </w:rPr>
        <w:t xml:space="preserve"> dané </w:t>
      </w:r>
      <w:r w:rsidR="001A7BF9" w:rsidRPr="0065138B">
        <w:rPr>
          <w:sz w:val="22"/>
          <w:szCs w:val="22"/>
          <w:lang w:val="sk-SK"/>
        </w:rPr>
        <w:t>pod</w:t>
      </w:r>
      <w:r w:rsidR="001A7BF9" w:rsidRPr="0065138B">
        <w:rPr>
          <w:sz w:val="22"/>
          <w:szCs w:val="22"/>
        </w:rPr>
        <w:t>opatrenie</w:t>
      </w:r>
      <w:r w:rsidR="001A7BF9" w:rsidRPr="0065138B">
        <w:rPr>
          <w:sz w:val="22"/>
          <w:szCs w:val="22"/>
          <w:shd w:val="clear" w:color="auto" w:fill="FFFFFF" w:themeFill="background1"/>
          <w:lang w:val="sk-SK"/>
        </w:rPr>
        <w:t>.</w:t>
      </w:r>
      <w:r w:rsidR="00C231AE" w:rsidRPr="0065138B">
        <w:rPr>
          <w:sz w:val="22"/>
          <w:szCs w:val="22"/>
          <w:shd w:val="clear" w:color="auto" w:fill="FFFFFF" w:themeFill="background1"/>
          <w:lang w:val="sk-SK"/>
        </w:rPr>
        <w:t xml:space="preserve"> Výzva bude časovo ohraničená.</w:t>
      </w:r>
      <w:r w:rsidR="001A7BF9" w:rsidRPr="0065138B">
        <w:rPr>
          <w:sz w:val="22"/>
          <w:szCs w:val="22"/>
          <w:shd w:val="clear" w:color="auto" w:fill="FFFFFF" w:themeFill="background1"/>
          <w:lang w:val="sk-SK"/>
        </w:rPr>
        <w:t xml:space="preserve"> </w:t>
      </w:r>
      <w:r w:rsidR="00C231AE" w:rsidRPr="0065138B">
        <w:rPr>
          <w:sz w:val="22"/>
          <w:szCs w:val="22"/>
          <w:lang w:val="sk-SK"/>
        </w:rPr>
        <w:t>V</w:t>
      </w:r>
      <w:proofErr w:type="spellStart"/>
      <w:r w:rsidR="00C231AE" w:rsidRPr="0065138B">
        <w:rPr>
          <w:sz w:val="22"/>
          <w:szCs w:val="22"/>
        </w:rPr>
        <w:t>ýberové</w:t>
      </w:r>
      <w:proofErr w:type="spellEnd"/>
      <w:r w:rsidR="00C231AE" w:rsidRPr="0065138B">
        <w:rPr>
          <w:sz w:val="22"/>
          <w:szCs w:val="22"/>
        </w:rPr>
        <w:t xml:space="preserve"> kolo pre príjem ŽoNFP </w:t>
      </w:r>
      <w:r w:rsidR="001A7BF9" w:rsidRPr="0065138B">
        <w:rPr>
          <w:sz w:val="22"/>
          <w:szCs w:val="22"/>
        </w:rPr>
        <w:t xml:space="preserve">sa v rámci uvedeného </w:t>
      </w:r>
      <w:r w:rsidR="001A7BF9" w:rsidRPr="0065138B">
        <w:rPr>
          <w:sz w:val="22"/>
          <w:szCs w:val="22"/>
          <w:lang w:val="sk-SK"/>
        </w:rPr>
        <w:t>pod</w:t>
      </w:r>
      <w:r w:rsidR="001A7BF9" w:rsidRPr="0065138B">
        <w:rPr>
          <w:sz w:val="22"/>
          <w:szCs w:val="22"/>
        </w:rPr>
        <w:t>opatrenia začína termínom uvedeným vo Výzve a končí posledným dňom prijímania ŽoNFP uvedeným v rámci danej Výzvy pre príslušné </w:t>
      </w:r>
      <w:r w:rsidR="001A7BF9" w:rsidRPr="0065138B">
        <w:rPr>
          <w:sz w:val="22"/>
          <w:szCs w:val="22"/>
          <w:lang w:val="sk-SK"/>
        </w:rPr>
        <w:t>pod</w:t>
      </w:r>
      <w:r w:rsidR="001A7BF9" w:rsidRPr="0065138B">
        <w:rPr>
          <w:sz w:val="22"/>
          <w:szCs w:val="22"/>
        </w:rPr>
        <w:t xml:space="preserve">opatrenie. Na vypracovanie ŽoNFP a na ich administráciu platia ustanovenia uvedené v  Príručke pre žiadateľa </w:t>
      </w:r>
      <w:r w:rsidR="00C231AE" w:rsidRPr="0065138B">
        <w:rPr>
          <w:sz w:val="22"/>
          <w:szCs w:val="22"/>
          <w:lang w:val="sk-SK"/>
        </w:rPr>
        <w:t xml:space="preserve">platnej </w:t>
      </w:r>
      <w:r w:rsidR="001A7BF9" w:rsidRPr="0065138B">
        <w:rPr>
          <w:sz w:val="22"/>
          <w:szCs w:val="22"/>
        </w:rPr>
        <w:t>ku dňu zverejnenia časovo ohraničenej Výzvy</w:t>
      </w:r>
      <w:r w:rsidR="00C231AE" w:rsidRPr="0065138B">
        <w:rPr>
          <w:sz w:val="22"/>
          <w:szCs w:val="22"/>
          <w:lang w:val="sk-SK"/>
        </w:rPr>
        <w:t xml:space="preserve"> a vo Výzve na predkladanie Žiadostí o NFP</w:t>
      </w:r>
      <w:r w:rsidR="001A7BF9" w:rsidRPr="0065138B">
        <w:rPr>
          <w:sz w:val="22"/>
          <w:szCs w:val="22"/>
        </w:rPr>
        <w:t xml:space="preserve">. </w:t>
      </w:r>
    </w:p>
    <w:p w:rsidR="00C231AE" w:rsidRPr="0065138B" w:rsidRDefault="004A2F1D" w:rsidP="0065138B">
      <w:pPr>
        <w:pStyle w:val="Zkladntext3"/>
        <w:spacing w:after="120"/>
        <w:ind w:right="-489"/>
        <w:rPr>
          <w:sz w:val="22"/>
          <w:szCs w:val="22"/>
          <w:lang w:val="sk-SK" w:eastAsia="en-US"/>
        </w:rPr>
      </w:pPr>
      <w:r>
        <w:rPr>
          <w:b/>
          <w:sz w:val="22"/>
          <w:szCs w:val="22"/>
          <w:lang w:val="sk-SK"/>
        </w:rPr>
        <w:t xml:space="preserve">M.2 </w:t>
      </w:r>
      <w:r w:rsidR="001A7BF9" w:rsidRPr="0065138B">
        <w:rPr>
          <w:sz w:val="22"/>
          <w:szCs w:val="22"/>
        </w:rPr>
        <w:t xml:space="preserve">Obsah Výzvy a jej náležitosti sú v súlade s § </w:t>
      </w:r>
      <w:r w:rsidR="00C231AE" w:rsidRPr="0065138B">
        <w:rPr>
          <w:sz w:val="22"/>
          <w:szCs w:val="22"/>
          <w:lang w:val="sk-SK"/>
        </w:rPr>
        <w:t>17</w:t>
      </w:r>
      <w:r w:rsidR="001A7BF9" w:rsidRPr="0065138B">
        <w:rPr>
          <w:sz w:val="22"/>
          <w:szCs w:val="22"/>
        </w:rPr>
        <w:t xml:space="preserve"> </w:t>
      </w:r>
      <w:r w:rsidR="001A7BF9" w:rsidRPr="0065138B">
        <w:rPr>
          <w:sz w:val="22"/>
          <w:szCs w:val="22"/>
          <w:lang w:eastAsia="en-US"/>
        </w:rPr>
        <w:t xml:space="preserve">zákona </w:t>
      </w:r>
      <w:r w:rsidR="00C231AE" w:rsidRPr="0065138B">
        <w:rPr>
          <w:sz w:val="22"/>
          <w:szCs w:val="22"/>
          <w:lang w:eastAsia="en-US"/>
        </w:rPr>
        <w:t xml:space="preserve">č. </w:t>
      </w:r>
      <w:r w:rsidR="00C231AE" w:rsidRPr="0065138B">
        <w:rPr>
          <w:sz w:val="22"/>
          <w:szCs w:val="22"/>
          <w:lang w:val="sk-SK" w:eastAsia="en-US"/>
        </w:rPr>
        <w:t>292</w:t>
      </w:r>
      <w:r w:rsidR="00C231AE" w:rsidRPr="0065138B">
        <w:rPr>
          <w:sz w:val="22"/>
          <w:szCs w:val="22"/>
          <w:lang w:eastAsia="en-US"/>
        </w:rPr>
        <w:t>/20</w:t>
      </w:r>
      <w:r w:rsidR="00C231AE" w:rsidRPr="0065138B">
        <w:rPr>
          <w:sz w:val="22"/>
          <w:szCs w:val="22"/>
          <w:lang w:val="sk-SK" w:eastAsia="en-US"/>
        </w:rPr>
        <w:t>14</w:t>
      </w:r>
      <w:r w:rsidR="001A7BF9" w:rsidRPr="0065138B">
        <w:rPr>
          <w:sz w:val="22"/>
          <w:szCs w:val="22"/>
          <w:lang w:eastAsia="en-US"/>
        </w:rPr>
        <w:t xml:space="preserve"> Z. z.. </w:t>
      </w:r>
    </w:p>
    <w:p w:rsidR="0065138B" w:rsidRPr="0065138B" w:rsidRDefault="004A2F1D" w:rsidP="0065138B">
      <w:pPr>
        <w:pStyle w:val="Odsekzoznamu"/>
        <w:spacing w:after="12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M.3 </w:t>
      </w:r>
      <w:r w:rsidR="0065138B" w:rsidRPr="0065138B">
        <w:rPr>
          <w:rFonts w:ascii="Times New Roman" w:hAnsi="Times New Roman" w:cs="Times New Roman"/>
          <w:sz w:val="22"/>
          <w:szCs w:val="22"/>
          <w:lang w:val="sk-SK"/>
        </w:rPr>
        <w:t>PPA posúdi súlad ŽoNFP s príslušnými podmienkami schémy.</w:t>
      </w:r>
    </w:p>
    <w:p w:rsidR="00C231AE" w:rsidRPr="0065138B" w:rsidRDefault="004A2F1D" w:rsidP="0065138B">
      <w:pPr>
        <w:pStyle w:val="Zkladntext3"/>
        <w:spacing w:after="120"/>
        <w:ind w:right="-489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 w:eastAsia="en-US"/>
        </w:rPr>
        <w:t xml:space="preserve">M.4 </w:t>
      </w:r>
      <w:r w:rsidR="00C231AE" w:rsidRPr="0065138B">
        <w:rPr>
          <w:sz w:val="22"/>
          <w:szCs w:val="22"/>
          <w:lang w:val="sk-SK" w:eastAsia="en-US"/>
        </w:rPr>
        <w:t>Celý mechanizmus poskytovania pomoci je popísaný v Systéme riadenia Programu rozvoja vidieka SR 2014-2020</w:t>
      </w:r>
      <w:r w:rsidR="00572755">
        <w:rPr>
          <w:sz w:val="22"/>
          <w:szCs w:val="22"/>
          <w:lang w:val="sk-SK" w:eastAsia="en-US"/>
        </w:rPr>
        <w:t>, kapitola 5 „Procesné úkony“ a Príručke pre žiadateľa o poskytnutie NFP</w:t>
      </w:r>
      <w:r w:rsidR="00C231AE" w:rsidRPr="0065138B">
        <w:rPr>
          <w:sz w:val="22"/>
          <w:szCs w:val="22"/>
          <w:lang w:val="sk-SK" w:eastAsia="en-US"/>
        </w:rPr>
        <w:t xml:space="preserve">. </w:t>
      </w:r>
    </w:p>
    <w:p w:rsidR="007A7A93" w:rsidRPr="00C231AE" w:rsidRDefault="007A7A93" w:rsidP="009A4F0D">
      <w:pPr>
        <w:widowControl w:val="0"/>
        <w:tabs>
          <w:tab w:val="left" w:pos="36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340AA3" w:rsidRDefault="0033509A" w:rsidP="00C231AE">
      <w:pPr>
        <w:pStyle w:val="Odsekzoznamu"/>
        <w:widowControl w:val="0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line="264" w:lineRule="auto"/>
        <w:ind w:left="426"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 w:rsidRPr="00340AA3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9A4F0D" w:rsidRPr="00340AA3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Rozpočet</w:t>
      </w:r>
    </w:p>
    <w:p w:rsidR="005A5061" w:rsidRPr="004A2F1D" w:rsidRDefault="004A2F1D" w:rsidP="004A2F1D">
      <w:pPr>
        <w:shd w:val="clear" w:color="auto" w:fill="FFFFFF" w:themeFill="background1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N.1 </w:t>
      </w:r>
      <w:r w:rsidR="005A5061" w:rsidRPr="005A5061">
        <w:rPr>
          <w:rFonts w:ascii="Times New Roman" w:hAnsi="Times New Roman" w:cs="Times New Roman"/>
          <w:sz w:val="22"/>
          <w:szCs w:val="22"/>
          <w:lang w:val="sk-SK"/>
        </w:rPr>
        <w:t xml:space="preserve">Objem finančných prostriedkov určených na realizáciu schémy na roky </w:t>
      </w:r>
      <w:r w:rsidR="005A5061">
        <w:rPr>
          <w:rFonts w:ascii="Times New Roman" w:hAnsi="Times New Roman" w:cs="Times New Roman"/>
          <w:sz w:val="22"/>
          <w:szCs w:val="22"/>
          <w:lang w:val="sk-SK"/>
        </w:rPr>
        <w:t>20</w:t>
      </w:r>
      <w:r w:rsidR="001A7BF9">
        <w:rPr>
          <w:rFonts w:ascii="Times New Roman" w:hAnsi="Times New Roman" w:cs="Times New Roman"/>
          <w:sz w:val="22"/>
          <w:szCs w:val="22"/>
          <w:lang w:val="sk-SK"/>
        </w:rPr>
        <w:t>15</w:t>
      </w:r>
      <w:r w:rsidR="005A5061">
        <w:rPr>
          <w:rFonts w:ascii="Times New Roman" w:hAnsi="Times New Roman" w:cs="Times New Roman"/>
          <w:sz w:val="22"/>
          <w:szCs w:val="22"/>
          <w:lang w:val="sk-SK"/>
        </w:rPr>
        <w:t xml:space="preserve"> – 2020</w:t>
      </w:r>
      <w:r w:rsidR="005A5061" w:rsidRPr="005A5061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5A5061" w:rsidRPr="003353EE">
        <w:rPr>
          <w:rFonts w:ascii="Times New Roman" w:hAnsi="Times New Roman" w:cs="Times New Roman"/>
          <w:sz w:val="22"/>
          <w:szCs w:val="22"/>
          <w:lang w:val="sk-SK"/>
        </w:rPr>
        <w:t xml:space="preserve">je </w:t>
      </w:r>
      <w:r w:rsidR="00D742E2">
        <w:rPr>
          <w:rFonts w:ascii="Times New Roman" w:hAnsi="Times New Roman" w:cs="Times New Roman"/>
          <w:sz w:val="22"/>
          <w:szCs w:val="22"/>
          <w:lang w:val="sk-SK"/>
        </w:rPr>
        <w:t>30</w:t>
      </w:r>
      <w:r w:rsidR="003353EE" w:rsidRPr="003353EE">
        <w:rPr>
          <w:rFonts w:ascii="Times New Roman" w:hAnsi="Times New Roman" w:cs="Times New Roman"/>
          <w:sz w:val="22"/>
          <w:szCs w:val="22"/>
          <w:lang w:val="sk-SK"/>
        </w:rPr>
        <w:t xml:space="preserve"> mil. Eur.</w:t>
      </w:r>
    </w:p>
    <w:p w:rsidR="005A5061" w:rsidRPr="005A5061" w:rsidRDefault="004A2F1D" w:rsidP="004A2F1D">
      <w:pPr>
        <w:shd w:val="clear" w:color="auto" w:fill="FFFFFF" w:themeFill="background1"/>
        <w:spacing w:after="120"/>
        <w:ind w:right="-488"/>
        <w:jc w:val="both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sk-SK"/>
        </w:rPr>
        <w:t xml:space="preserve">N.2 </w:t>
      </w:r>
      <w:r w:rsidR="005A5061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Rozpočet, resp. objem finančných prostriedkov pre </w:t>
      </w:r>
      <w:r w:rsidR="00D742E2">
        <w:rPr>
          <w:rFonts w:ascii="Times New Roman" w:hAnsi="Times New Roman" w:cs="Times New Roman"/>
          <w:color w:val="000000"/>
          <w:sz w:val="22"/>
          <w:szCs w:val="22"/>
          <w:lang w:val="sk-SK"/>
        </w:rPr>
        <w:t>podopatrenie 4</w:t>
      </w:r>
      <w:r w:rsidR="001A7BF9">
        <w:rPr>
          <w:rFonts w:ascii="Times New Roman" w:hAnsi="Times New Roman" w:cs="Times New Roman"/>
          <w:color w:val="000000"/>
          <w:sz w:val="22"/>
          <w:szCs w:val="22"/>
          <w:lang w:val="sk-SK"/>
        </w:rPr>
        <w:t>.3</w:t>
      </w:r>
      <w:r w:rsidR="005A5061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D742E2">
        <w:rPr>
          <w:rFonts w:ascii="Times New Roman" w:hAnsi="Times New Roman" w:cs="Times New Roman"/>
          <w:sz w:val="22"/>
          <w:szCs w:val="22"/>
          <w:lang w:val="sk-SK"/>
        </w:rPr>
        <w:t>P</w:t>
      </w:r>
      <w:r w:rsidR="00D742E2" w:rsidRPr="009A4F0D">
        <w:rPr>
          <w:rFonts w:ascii="Times New Roman" w:hAnsi="Times New Roman" w:cs="Times New Roman"/>
          <w:sz w:val="22"/>
          <w:szCs w:val="22"/>
          <w:lang w:val="sk-SK"/>
        </w:rPr>
        <w:t>odpor</w:t>
      </w:r>
      <w:r w:rsidR="00D742E2">
        <w:rPr>
          <w:rFonts w:ascii="Times New Roman" w:hAnsi="Times New Roman" w:cs="Times New Roman"/>
          <w:sz w:val="22"/>
          <w:szCs w:val="22"/>
          <w:lang w:val="sk-SK"/>
        </w:rPr>
        <w:t xml:space="preserve">a </w:t>
      </w:r>
      <w:r w:rsidR="00D742E2" w:rsidRPr="00FF3561">
        <w:rPr>
          <w:rFonts w:ascii="Times New Roman" w:hAnsi="Times New Roman" w:cs="Times New Roman"/>
          <w:bCs/>
          <w:sz w:val="22"/>
          <w:szCs w:val="22"/>
          <w:lang w:val="sk-SK"/>
        </w:rPr>
        <w:t>investícií do infraštruktúry súvisiacej s vývojom, modernizáciou alebo/a prispôsobením poľnohospodárstva a lesného hospodárstva – investície týkajúce sa infraštruktúry a prístupu k lesnej pôde</w:t>
      </w:r>
      <w:r w:rsidR="00D742E2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5A5061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>je v súlade s </w:t>
      </w:r>
      <w:r w:rsidR="003C0247">
        <w:rPr>
          <w:rFonts w:ascii="Times New Roman" w:hAnsi="Times New Roman" w:cs="Times New Roman"/>
          <w:color w:val="000000"/>
          <w:sz w:val="22"/>
          <w:szCs w:val="22"/>
          <w:lang w:val="sk-SK"/>
        </w:rPr>
        <w:t>PRV</w:t>
      </w:r>
      <w:r w:rsidR="005A5061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. </w:t>
      </w:r>
    </w:p>
    <w:p w:rsidR="005A5061" w:rsidRPr="005A5061" w:rsidRDefault="004A2F1D" w:rsidP="004A2F1D">
      <w:pPr>
        <w:shd w:val="clear" w:color="auto" w:fill="FFFFFF" w:themeFill="background1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N.3 </w:t>
      </w:r>
      <w:r w:rsidR="005A5061" w:rsidRPr="005A5061">
        <w:rPr>
          <w:rFonts w:ascii="Times New Roman" w:hAnsi="Times New Roman" w:cs="Times New Roman"/>
          <w:sz w:val="22"/>
          <w:szCs w:val="22"/>
          <w:lang w:val="sk-SK"/>
        </w:rPr>
        <w:t xml:space="preserve">Priemerný indikatívny objem finančných prostriedkov v rámci schémy na jeden rok je </w:t>
      </w:r>
      <w:r w:rsidR="00A22CE8">
        <w:rPr>
          <w:rFonts w:ascii="Times New Roman" w:hAnsi="Times New Roman" w:cs="Times New Roman"/>
          <w:sz w:val="22"/>
          <w:szCs w:val="22"/>
          <w:lang w:val="sk-SK"/>
        </w:rPr>
        <w:t>približne 5</w:t>
      </w:r>
      <w:r w:rsidR="003353EE">
        <w:rPr>
          <w:rFonts w:ascii="Times New Roman" w:hAnsi="Times New Roman" w:cs="Times New Roman"/>
          <w:sz w:val="22"/>
          <w:szCs w:val="22"/>
          <w:lang w:val="sk-SK"/>
        </w:rPr>
        <w:t xml:space="preserve"> mil. Eur. </w:t>
      </w:r>
    </w:p>
    <w:p w:rsidR="0033509A" w:rsidRDefault="0033509A" w:rsidP="00C231AE">
      <w:pPr>
        <w:widowControl w:val="0"/>
        <w:shd w:val="clear" w:color="auto" w:fill="FFFFFF" w:themeFill="background1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340AA3" w:rsidRDefault="0033509A" w:rsidP="00C231AE">
      <w:pPr>
        <w:pStyle w:val="Odsekzoznamu"/>
        <w:widowControl w:val="0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line="264" w:lineRule="auto"/>
        <w:ind w:left="426"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 w:rsidRPr="00340AA3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Transparentnosť, monitorovanie, uverejňovanie a</w:t>
      </w:r>
      <w:r w:rsidR="00D43106" w:rsidRPr="00340AA3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informácie </w:t>
      </w:r>
    </w:p>
    <w:p w:rsidR="0033509A" w:rsidRPr="004A2F1D" w:rsidRDefault="004A2F1D" w:rsidP="004A2F1D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left="66"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O.1 </w:t>
      </w:r>
      <w:r w:rsidR="0033509A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Posudzovanie ŽoNFP (projektov) sa vykonáva podľa pravidiel uvedených v pracovných postupoch stanovených vnútornými predpismi PPA a v </w:t>
      </w:r>
      <w:r w:rsidR="0033509A" w:rsidRPr="004A2F1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 </w:t>
      </w:r>
      <w:r w:rsidR="0033509A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súlade s</w:t>
      </w:r>
      <w:r w:rsidR="006010B8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o Systémom riadenia Programu </w:t>
      </w:r>
      <w:r w:rsidR="006010B8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lastRenderedPageBreak/>
        <w:t>rozvoja vidieka SR 2014-2020.</w:t>
      </w:r>
    </w:p>
    <w:p w:rsidR="0033509A" w:rsidRPr="004A2F1D" w:rsidRDefault="004A2F1D" w:rsidP="004A2F1D">
      <w:pPr>
        <w:widowControl w:val="0"/>
        <w:shd w:val="clear" w:color="auto" w:fill="FFFFFF" w:themeFill="background1"/>
        <w:tabs>
          <w:tab w:val="left" w:pos="360"/>
          <w:tab w:val="left" w:pos="306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O.2 </w:t>
      </w:r>
      <w:r w:rsidR="0033509A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Sťažnosti sa podávajú  na ústredie PPA podľa zákona č. 9/2010 Z. z. o sťažnostiach v znení neskorších predpisov.</w:t>
      </w:r>
    </w:p>
    <w:p w:rsidR="0033509A" w:rsidRPr="004A2F1D" w:rsidRDefault="004A2F1D" w:rsidP="004A2F1D">
      <w:pPr>
        <w:widowControl w:val="0"/>
        <w:shd w:val="clear" w:color="auto" w:fill="FFFFFF" w:themeFill="background1"/>
        <w:tabs>
          <w:tab w:val="left" w:pos="360"/>
          <w:tab w:val="left" w:pos="306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O.3 </w:t>
      </w:r>
      <w:r w:rsidR="0033509A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Podľa ustanovenia § 17 ods. 2 písm. a) zákona č. 543/2007 Z. z. o pôsobnosti orgánov štátnej správy pri poskytovaní podpory v pôdohospodárstve a rozvoji vidieka sa na poskytovanie projektových podpôr spolufinancovaných z fondov EÚ nevzťahujú všeobecné predpisy o správnom konaní. </w:t>
      </w:r>
    </w:p>
    <w:p w:rsidR="0033509A" w:rsidRPr="004A2F1D" w:rsidRDefault="004A2F1D" w:rsidP="004A2F1D">
      <w:pPr>
        <w:widowControl w:val="0"/>
        <w:shd w:val="clear" w:color="auto" w:fill="FFFFFF" w:themeFill="background1"/>
        <w:tabs>
          <w:tab w:val="left" w:pos="360"/>
          <w:tab w:val="left" w:pos="306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O.4 </w:t>
      </w:r>
      <w:r w:rsidR="002640A3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Ministerstvo </w:t>
      </w:r>
      <w:r w:rsidR="009A4F0D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po nadobudnutí účinnosti </w:t>
      </w:r>
      <w:r w:rsidR="004F22BF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tejto </w:t>
      </w:r>
      <w:r w:rsidR="009A4F0D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schémy</w:t>
      </w:r>
      <w:r w:rsidR="004F22BF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9A4F0D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uvere</w:t>
      </w:r>
      <w:r w:rsidR="000749D1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jní na svojom webovom sídle jej </w:t>
      </w:r>
      <w:r w:rsidR="004F22BF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úplné znenie</w:t>
      </w:r>
      <w:r w:rsidR="007A7A93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schémy</w:t>
      </w:r>
      <w:r w:rsidR="004F22BF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, vrátane jej prípadných zmien, spolu so súhrnnými informáciami, stanovenými v prílohe II nariadenia Komisie (EÚ) č. 702/2014, kde zostanú</w:t>
      </w:r>
      <w:r w:rsidR="009A4F0D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dostupné do konca platnosti </w:t>
      </w:r>
      <w:r w:rsidR="004F22BF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tejto </w:t>
      </w:r>
      <w:r w:rsidR="009A4F0D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schémy.</w:t>
      </w:r>
    </w:p>
    <w:p w:rsidR="004F22BF" w:rsidRPr="004A2F1D" w:rsidRDefault="004A2F1D" w:rsidP="004A2F1D">
      <w:pPr>
        <w:widowControl w:val="0"/>
        <w:shd w:val="clear" w:color="auto" w:fill="FFFFFF" w:themeFill="background1"/>
        <w:tabs>
          <w:tab w:val="left" w:pos="360"/>
          <w:tab w:val="left" w:pos="306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O.5 </w:t>
      </w:r>
      <w:r w:rsidR="004F22BF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PPA uverejní na svojom webovom sídle informácie stanovené v prílohe III nariadenia Komisie (EÚ) č. 702/2014 o každej poskytnutej pomoci, ktorá presahuje 500 000 </w:t>
      </w:r>
      <w:r w:rsidR="001260D3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Eur pre príjemcu</w:t>
      </w:r>
      <w:r w:rsidR="004B2676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resp. odkaz na </w:t>
      </w:r>
      <w:r w:rsidR="00E852AD">
        <w:rPr>
          <w:rFonts w:ascii="Times New Roman" w:hAnsi="Times New Roman" w:cs="Times New Roman"/>
          <w:kern w:val="1"/>
          <w:sz w:val="22"/>
          <w:szCs w:val="22"/>
          <w:lang w:val="sk-SK"/>
        </w:rPr>
        <w:t>webové sídlo</w:t>
      </w:r>
      <w:r w:rsidR="004B2676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, kde sú uverejnené</w:t>
      </w:r>
      <w:r w:rsidR="000C7629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tieto</w:t>
      </w:r>
      <w:r w:rsidR="004B2676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informácie</w:t>
      </w:r>
      <w:r w:rsidR="000C7629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>, ktoré sú uverejnené</w:t>
      </w:r>
      <w:r w:rsidR="004B2676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 súlade s čl.</w:t>
      </w:r>
      <w:r w:rsidR="00D51017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111, 112 </w:t>
      </w:r>
      <w:r w:rsidR="004B2676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 113 nariadenia EP a Rady (EÚ) č. 1306/2013 o financovaní, riadení a monitorovaní spoločnej poľnohospodárskej politiky. </w:t>
      </w:r>
      <w:r w:rsidR="001260D3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Tieto informácie sa uvádzajú a sprístupňujú štandardizovaným spôsobom, uvedeným v tejto prílohe tak, aby sa dali efektívne vyhľadávať a sťahovať. Tieto informácie sa uverejňujú do 6 mesiacov odo dňa poskytnutia pomoci a sú k dispozícii minimálne 10 rokov odo dňa poskytnutia pomoci. </w:t>
      </w:r>
    </w:p>
    <w:p w:rsidR="001B12D1" w:rsidRPr="004A2F1D" w:rsidRDefault="004A2F1D" w:rsidP="004A2F1D">
      <w:pPr>
        <w:widowControl w:val="0"/>
        <w:shd w:val="clear" w:color="auto" w:fill="FFFFFF" w:themeFill="background1"/>
        <w:tabs>
          <w:tab w:val="left" w:pos="360"/>
          <w:tab w:val="left" w:pos="306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O.6 </w:t>
      </w:r>
      <w:r w:rsidR="00D51017" w:rsidRPr="004A2F1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Ministerstvo a PPA zabezpečia uchovávanie podrobných záznamov o schéme a podpornú dokumentáciu potrebnú na zistenie toho, či boli splnené všetky podmienky, stanovené v tejto schéme, po dobu 10 rokov odo dňa kedy bola v rámci tejto schémy poskytnutá posledná pomoc. </w:t>
      </w:r>
    </w:p>
    <w:p w:rsidR="001B12D1" w:rsidRPr="004A2F1D" w:rsidRDefault="004A2F1D" w:rsidP="004A2F1D">
      <w:pPr>
        <w:widowControl w:val="0"/>
        <w:shd w:val="clear" w:color="auto" w:fill="FFFFFF" w:themeFill="background1"/>
        <w:tabs>
          <w:tab w:val="left" w:pos="360"/>
          <w:tab w:val="left" w:pos="306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O.7 </w:t>
      </w:r>
      <w:r w:rsidR="001B12D1" w:rsidRPr="004A2F1D">
        <w:rPr>
          <w:rFonts w:ascii="Times New Roman" w:hAnsi="Times New Roman" w:cs="Times New Roman"/>
          <w:sz w:val="22"/>
          <w:szCs w:val="22"/>
          <w:lang w:val="sk-SK"/>
        </w:rPr>
        <w:t>PPA predloží ministerstvu do 10. februára nasledujúceho roku po roku poskytnutia pomoci podľa tejto schémy prehľad o poskytnutej pomoci podľa tejto schémy za príslušný rok.</w:t>
      </w:r>
    </w:p>
    <w:p w:rsidR="009A4F0D" w:rsidRPr="009A4F0D" w:rsidRDefault="009A4F0D" w:rsidP="00C231AE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6552AD" w:rsidRDefault="00340AA3" w:rsidP="00C231AE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P</w:t>
      </w:r>
      <w:r w:rsid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. K</w:t>
      </w:r>
      <w:r w:rsidR="009A4F0D" w:rsidRP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ontrola a </w:t>
      </w:r>
      <w:r w:rsidR="00E5464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vládny</w:t>
      </w:r>
      <w:r w:rsidR="00E54641" w:rsidRP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9A4F0D" w:rsidRP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audit</w:t>
      </w:r>
    </w:p>
    <w:p w:rsidR="009A4F0D" w:rsidRPr="009A4F0D" w:rsidRDefault="004A2F1D" w:rsidP="00AB3E93">
      <w:pPr>
        <w:widowControl w:val="0"/>
        <w:shd w:val="clear" w:color="auto" w:fill="FFFFFF" w:themeFill="background1"/>
        <w:tabs>
          <w:tab w:val="left" w:pos="360"/>
          <w:tab w:val="left" w:pos="234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P.1 </w:t>
      </w:r>
      <w:r w:rsidR="006010B8">
        <w:rPr>
          <w:rFonts w:ascii="Times New Roman" w:hAnsi="Times New Roman" w:cs="Times New Roman"/>
          <w:kern w:val="1"/>
          <w:sz w:val="22"/>
          <w:szCs w:val="22"/>
          <w:lang w:val="sk-SK"/>
        </w:rPr>
        <w:t>Posudzovanie ŽoNFP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, uzatváranie Zmluvy, monitoring a poskytovanie platieb sa vykonáva podľa pravidiel uvedených v pracovných postupoch stanovených vnútornými predpismi PPA.  </w:t>
      </w:r>
    </w:p>
    <w:p w:rsidR="009A4F0D" w:rsidRPr="009A4F0D" w:rsidRDefault="004A2F1D" w:rsidP="00AB3E93">
      <w:pPr>
        <w:widowControl w:val="0"/>
        <w:shd w:val="clear" w:color="auto" w:fill="FFFFFF" w:themeFill="background1"/>
        <w:tabs>
          <w:tab w:val="left" w:pos="360"/>
          <w:tab w:val="left" w:pos="234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P.2 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Vykonáv</w:t>
      </w:r>
      <w:r w:rsidR="000C762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anie kontroly </w:t>
      </w:r>
      <w:r w:rsidR="00044E7F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 vládneho auditu </w:t>
      </w:r>
      <w:r w:rsidR="000C7629">
        <w:rPr>
          <w:rFonts w:ascii="Times New Roman" w:hAnsi="Times New Roman" w:cs="Times New Roman"/>
          <w:kern w:val="1"/>
          <w:sz w:val="22"/>
          <w:szCs w:val="22"/>
          <w:lang w:val="sk-SK"/>
        </w:rPr>
        <w:t>pomoci vychádza zo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zákona č. 502/2001 Z. z. o finančnej kontrole a vnútornom audite a o zmene a doplnení niektorých zákonov v znení zákona č. 618/2004 Z. z. ako aj z interných predpisov ministerstva a PPA na výkon kontroly.</w:t>
      </w:r>
    </w:p>
    <w:p w:rsidR="009A4F0D" w:rsidRPr="009A4F0D" w:rsidRDefault="00AB3E93" w:rsidP="00AB3E93">
      <w:pPr>
        <w:widowControl w:val="0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P.3 </w:t>
      </w:r>
      <w:r w:rsidR="00A724B6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Subjektmi zapojenými do finančnej kontroly</w:t>
      </w:r>
      <w:r w:rsidR="00044E7F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a vládneho auditu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sú:</w:t>
      </w:r>
    </w:p>
    <w:p w:rsidR="009A4F0D" w:rsidRPr="009A4F0D" w:rsidRDefault="009A4F0D" w:rsidP="00C231AE">
      <w:pPr>
        <w:widowControl w:val="0"/>
        <w:shd w:val="clear" w:color="auto" w:fill="FFFFFF" w:themeFill="background1"/>
        <w:tabs>
          <w:tab w:val="left" w:pos="360"/>
          <w:tab w:val="left" w:pos="723"/>
        </w:tabs>
        <w:autoSpaceDE w:val="0"/>
        <w:autoSpaceDN w:val="0"/>
        <w:adjustRightInd w:val="0"/>
        <w:ind w:left="723" w:right="-432" w:hanging="360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Útv</w:t>
      </w:r>
      <w:r w:rsidR="00534928">
        <w:rPr>
          <w:rFonts w:ascii="Times New Roman" w:hAnsi="Times New Roman" w:cs="Times New Roman"/>
          <w:kern w:val="1"/>
          <w:sz w:val="22"/>
          <w:szCs w:val="22"/>
          <w:lang w:val="sk-SK"/>
        </w:rPr>
        <w:t>ary kontroly ministerstva a PPA;</w:t>
      </w:r>
    </w:p>
    <w:p w:rsidR="009A4F0D" w:rsidRPr="009A4F0D" w:rsidRDefault="009A4F0D" w:rsidP="00C231AE">
      <w:pPr>
        <w:widowControl w:val="0"/>
        <w:shd w:val="clear" w:color="auto" w:fill="FFFFFF" w:themeFill="background1"/>
        <w:tabs>
          <w:tab w:val="left" w:pos="360"/>
          <w:tab w:val="left" w:pos="723"/>
        </w:tabs>
        <w:autoSpaceDE w:val="0"/>
        <w:autoSpaceDN w:val="0"/>
        <w:adjustRightInd w:val="0"/>
        <w:ind w:left="723" w:right="-432" w:hanging="360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Ministerstv</w:t>
      </w:r>
      <w:r w:rsidR="00534928">
        <w:rPr>
          <w:rFonts w:ascii="Times New Roman" w:hAnsi="Times New Roman" w:cs="Times New Roman"/>
          <w:kern w:val="1"/>
          <w:sz w:val="22"/>
          <w:szCs w:val="22"/>
          <w:lang w:val="sk-SK"/>
        </w:rPr>
        <w:t>o financií Slovenskej republiky;</w:t>
      </w:r>
    </w:p>
    <w:p w:rsidR="009A4F0D" w:rsidRPr="002C0666" w:rsidRDefault="009A4F0D" w:rsidP="00C231AE">
      <w:pPr>
        <w:widowControl w:val="0"/>
        <w:shd w:val="clear" w:color="auto" w:fill="FFFFFF" w:themeFill="background1"/>
        <w:tabs>
          <w:tab w:val="left" w:pos="360"/>
          <w:tab w:val="left" w:pos="723"/>
        </w:tabs>
        <w:autoSpaceDE w:val="0"/>
        <w:autoSpaceDN w:val="0"/>
        <w:adjustRightInd w:val="0"/>
        <w:ind w:left="723" w:right="-432" w:hanging="360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kern w:val="1"/>
          <w:sz w:val="22"/>
          <w:szCs w:val="22"/>
          <w:lang w:val="sk-SK"/>
        </w:rPr>
        <w:t>Správa finančnej kontroly</w:t>
      </w:r>
      <w:r w:rsidR="00534928" w:rsidRPr="002C0666">
        <w:rPr>
          <w:rFonts w:ascii="Times New Roman" w:hAnsi="Times New Roman" w:cs="Times New Roman"/>
          <w:kern w:val="1"/>
          <w:sz w:val="22"/>
          <w:szCs w:val="22"/>
          <w:lang w:val="sk-SK"/>
        </w:rPr>
        <w:t>;</w:t>
      </w:r>
    </w:p>
    <w:p w:rsidR="009A4F0D" w:rsidRPr="002C0666" w:rsidRDefault="00534928" w:rsidP="00C231AE">
      <w:pPr>
        <w:widowControl w:val="0"/>
        <w:shd w:val="clear" w:color="auto" w:fill="FFFFFF" w:themeFill="background1"/>
        <w:tabs>
          <w:tab w:val="left" w:pos="360"/>
          <w:tab w:val="left" w:pos="723"/>
        </w:tabs>
        <w:autoSpaceDE w:val="0"/>
        <w:autoSpaceDN w:val="0"/>
        <w:adjustRightInd w:val="0"/>
        <w:ind w:left="723" w:right="-432" w:hanging="360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kern w:val="1"/>
          <w:sz w:val="22"/>
          <w:szCs w:val="22"/>
          <w:lang w:val="sk-SK"/>
        </w:rPr>
        <w:t>Najvyšší kontrolný úrad SR;</w:t>
      </w:r>
    </w:p>
    <w:p w:rsidR="009A4F0D" w:rsidRPr="002C0666" w:rsidRDefault="000400E3" w:rsidP="00AB3E93">
      <w:pPr>
        <w:autoSpaceDE w:val="0"/>
        <w:autoSpaceDN w:val="0"/>
        <w:adjustRightInd w:val="0"/>
        <w:spacing w:after="120"/>
        <w:ind w:firstLine="363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noProof/>
          <w:sz w:val="22"/>
          <w:szCs w:val="22"/>
        </w:rPr>
        <w:t>Kontrolné orgány EÚ.</w:t>
      </w:r>
      <w:r w:rsidR="002C0666" w:rsidRPr="002C0666">
        <w:rPr>
          <w:rFonts w:ascii="Times New Roman" w:hAnsi="Times New Roman" w:cs="Times New Roman"/>
          <w:noProof/>
          <w:sz w:val="22"/>
          <w:szCs w:val="22"/>
        </w:rPr>
        <w:t xml:space="preserve">  </w:t>
      </w:r>
    </w:p>
    <w:p w:rsidR="00A724B6" w:rsidRPr="00AB3E93" w:rsidRDefault="00AB3E93" w:rsidP="00AB3E93">
      <w:pPr>
        <w:widowControl w:val="0"/>
        <w:shd w:val="clear" w:color="auto" w:fill="FFFFFF" w:themeFill="background1"/>
        <w:tabs>
          <w:tab w:val="left" w:pos="360"/>
          <w:tab w:val="left" w:pos="2340"/>
        </w:tabs>
        <w:autoSpaceDE w:val="0"/>
        <w:autoSpaceDN w:val="0"/>
        <w:adjustRightInd w:val="0"/>
        <w:spacing w:after="12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P.4 </w:t>
      </w:r>
      <w:r w:rsidR="009A4F0D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PPA v súlade s § 19 zákona o štátnej pomoci kontroluje použitie dotácie, op</w:t>
      </w:r>
      <w:r w:rsidR="000C7629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rávnenosť vynaložených </w:t>
      </w:r>
      <w:r w:rsidR="00B91474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nákladov</w:t>
      </w:r>
      <w:r w:rsidR="000C7629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9A4F0D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 dodržiavanie podmienok poskytnutia pomoci. Ministerstvo kontroluje podľa zákona č. 502/2001 Z. z. dodržiavanie podmienok, za ktorých sa pomoc poskytla, ako aj ostatné skutočnosti, ktoré by mohli mať vplyv na správnosť a účelovosť poskytnutej </w:t>
      </w:r>
      <w:r w:rsidR="000C7629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pomoci</w:t>
      </w:r>
      <w:r w:rsidR="009A4F0D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</w:p>
    <w:p w:rsidR="00A724B6" w:rsidRPr="00AB3E93" w:rsidRDefault="00AB3E93" w:rsidP="00AB3E93">
      <w:pPr>
        <w:widowControl w:val="0"/>
        <w:shd w:val="clear" w:color="auto" w:fill="FFFFFF" w:themeFill="background1"/>
        <w:tabs>
          <w:tab w:val="left" w:pos="360"/>
          <w:tab w:val="left" w:pos="2340"/>
        </w:tabs>
        <w:autoSpaceDE w:val="0"/>
        <w:autoSpaceDN w:val="0"/>
        <w:adjustRightInd w:val="0"/>
        <w:spacing w:after="12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P.5 </w:t>
      </w:r>
      <w:r w:rsidR="007C33F9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Príjemca pomoci</w:t>
      </w:r>
      <w:r w:rsidR="009A4F0D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 súlade s § 19 zákona o štátnej pomoci umožní  PPA vykonanie kontroly použitia </w:t>
      </w:r>
      <w:r w:rsidR="000C7629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pomoci</w:t>
      </w:r>
      <w:r w:rsidR="009A4F0D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a oprávnenosti vynaložených </w:t>
      </w:r>
      <w:r w:rsidR="00B91474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nákladov</w:t>
      </w:r>
      <w:r w:rsidR="009A4F0D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. </w:t>
      </w:r>
    </w:p>
    <w:p w:rsidR="009A4F0D" w:rsidRPr="00AB3E93" w:rsidRDefault="00AB3E93" w:rsidP="00AB3E93">
      <w:pPr>
        <w:widowControl w:val="0"/>
        <w:shd w:val="clear" w:color="auto" w:fill="FFFFFF" w:themeFill="background1"/>
        <w:tabs>
          <w:tab w:val="left" w:pos="360"/>
          <w:tab w:val="left" w:pos="2340"/>
        </w:tabs>
        <w:autoSpaceDE w:val="0"/>
        <w:autoSpaceDN w:val="0"/>
        <w:adjustRightInd w:val="0"/>
        <w:spacing w:after="12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P.6 </w:t>
      </w:r>
      <w:r w:rsidR="007C33F9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Príjemca pomoci</w:t>
      </w:r>
      <w:r w:rsidR="009A4F0D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vytvorí zamestnancom kontrolného orgánu vykonávajúcim kontrolu primerané podmienky na riadne a včasné vykonanie kontroly a poskytne im potrebnú súčinnosť a všetky vyžiadané informácie a listin</w:t>
      </w:r>
      <w:r w:rsidR="000F79F5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y týkajúce sa najmä realizácie pomoci</w:t>
      </w:r>
      <w:r w:rsidR="009A4F0D" w:rsidRPr="00AB3E93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</w:p>
    <w:p w:rsidR="00460E1B" w:rsidRPr="009A4F0D" w:rsidRDefault="00460E1B" w:rsidP="00C231AE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6552AD" w:rsidRDefault="00340AA3" w:rsidP="00C231AE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Q</w:t>
      </w:r>
      <w:r w:rsid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. P</w:t>
      </w:r>
      <w:r w:rsidR="009A4F0D" w:rsidRP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latnosť a účinnosť schémy</w:t>
      </w:r>
    </w:p>
    <w:p w:rsidR="00A537C5" w:rsidRDefault="00FA5BCC" w:rsidP="00A537C5">
      <w:pPr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DA69F2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lastRenderedPageBreak/>
        <w:t xml:space="preserve">Q.1 </w:t>
      </w:r>
      <w:r w:rsidR="00906144" w:rsidRPr="00DA69F2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Schéma nadobúda platnosť a účinnosť </w:t>
      </w:r>
      <w:r w:rsidR="00906144">
        <w:rPr>
          <w:rFonts w:ascii="Times New Roman" w:hAnsi="Times New Roman" w:cs="Times New Roman"/>
          <w:noProof/>
          <w:sz w:val="22"/>
          <w:szCs w:val="22"/>
          <w:lang w:val="sk-SK"/>
        </w:rPr>
        <w:t>dátumom</w:t>
      </w:r>
      <w:r w:rsidR="00906144" w:rsidRPr="00DA69F2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pridelenia identifikačného čísla žiadosti o výnimku Európskou komisiou.</w:t>
      </w:r>
    </w:p>
    <w:p w:rsidR="00906144" w:rsidRDefault="00A537C5" w:rsidP="00A537C5">
      <w:pPr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>Q.2</w:t>
      </w:r>
      <w:r w:rsidR="00FA5BCC" w:rsidRPr="00DA69F2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906144" w:rsidRPr="00DA69F2">
        <w:rPr>
          <w:rFonts w:ascii="Times New Roman" w:hAnsi="Times New Roman" w:cs="Times New Roman"/>
          <w:noProof/>
          <w:sz w:val="22"/>
          <w:szCs w:val="22"/>
          <w:lang w:val="sk-SK"/>
        </w:rPr>
        <w:t>Zmeny v schéme je možné vykonať formou písomných dodatkov. Zmeny okrem zmien formálneho a administratívneho charakteru, budú oznámené Európskej komisii formou súhrnných informácií a nadobudnú platnosť a účinnosť od dátumu pridelenia identifikačného čísla Európskou komisiou.</w:t>
      </w:r>
    </w:p>
    <w:p w:rsidR="00FA5BCC" w:rsidRPr="00DA69F2" w:rsidRDefault="00A537C5" w:rsidP="00D67CC1">
      <w:pPr>
        <w:widowControl w:val="0"/>
        <w:autoSpaceDE w:val="0"/>
        <w:autoSpaceDN w:val="0"/>
        <w:adjustRightInd w:val="0"/>
        <w:spacing w:after="120"/>
        <w:ind w:left="68" w:right="-489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sk-SK"/>
        </w:rPr>
        <w:t>Q.3</w:t>
      </w:r>
      <w:r w:rsidR="00FA5BCC" w:rsidRPr="00DA69F2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</w:t>
      </w:r>
      <w:r w:rsidR="00D67CC1" w:rsidRPr="00DA69F2">
        <w:rPr>
          <w:rFonts w:ascii="Times New Roman" w:hAnsi="Times New Roman" w:cs="Times New Roman"/>
          <w:noProof/>
          <w:sz w:val="22"/>
          <w:szCs w:val="22"/>
          <w:lang w:val="sk-SK"/>
        </w:rPr>
        <w:t>Dodatky k schém</w:t>
      </w:r>
      <w:r w:rsidR="00D67CC1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="00D67CC1" w:rsidRPr="00DA69F2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, ktoré sa neoznamujú Európskej komisii nadobúdajú platnosť a účinnosť ich zverejnením na webovom sídle </w:t>
      </w:r>
      <w:r w:rsidR="00D67CC1">
        <w:rPr>
          <w:rFonts w:ascii="Times New Roman" w:hAnsi="Times New Roman" w:cs="Times New Roman"/>
          <w:noProof/>
          <w:sz w:val="22"/>
          <w:szCs w:val="22"/>
          <w:lang w:val="sk-SK"/>
        </w:rPr>
        <w:t>ministerstva</w:t>
      </w:r>
      <w:r w:rsidR="00D67CC1" w:rsidRPr="00DA69F2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hyperlink r:id="rId11" w:history="1">
        <w:r w:rsidR="00D67CC1" w:rsidRPr="00DA69F2">
          <w:rPr>
            <w:rStyle w:val="Hypertextovprepojenie"/>
            <w:rFonts w:ascii="Times New Roman" w:hAnsi="Times New Roman" w:cs="Times New Roman"/>
            <w:noProof/>
            <w:color w:val="auto"/>
            <w:sz w:val="22"/>
            <w:szCs w:val="22"/>
            <w:lang w:val="sk-SK"/>
          </w:rPr>
          <w:t>www.land.gov.sk</w:t>
        </w:r>
      </w:hyperlink>
      <w:r w:rsidR="00D67CC1" w:rsidRPr="00DA69F2">
        <w:rPr>
          <w:rFonts w:ascii="Times New Roman" w:hAnsi="Times New Roman" w:cs="Times New Roman"/>
          <w:noProof/>
          <w:sz w:val="22"/>
          <w:szCs w:val="22"/>
          <w:lang w:val="sk-SK"/>
        </w:rPr>
        <w:t>,</w:t>
      </w:r>
      <w:r w:rsidR="00D67CC1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v časti</w:t>
      </w:r>
      <w:r w:rsidR="00D67CC1" w:rsidRPr="00DA69F2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Podpory – výzvy – Štátna pomoc.</w:t>
      </w:r>
      <w:r w:rsidR="00D67CC1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</w:p>
    <w:p w:rsidR="00FA5BCC" w:rsidRPr="0033509A" w:rsidRDefault="00FA5BCC" w:rsidP="00FA5BCC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left="68" w:right="-431"/>
        <w:jc w:val="both"/>
        <w:rPr>
          <w:rFonts w:ascii="Times New Roman" w:hAnsi="Times New Roman" w:cs="Times New Roman"/>
          <w:bCs/>
          <w:kern w:val="1"/>
          <w:sz w:val="22"/>
          <w:szCs w:val="22"/>
          <w:lang w:val="sk-SK"/>
        </w:rPr>
      </w:pPr>
      <w:r w:rsidRPr="00DA69F2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Q</w:t>
      </w:r>
      <w:r w:rsidR="00A537C5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.4</w:t>
      </w:r>
      <w:r w:rsidRPr="00DA69F2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Pr="00DA69F2">
        <w:rPr>
          <w:rFonts w:ascii="Times New Roman" w:hAnsi="Times New Roman" w:cs="Times New Roman"/>
          <w:kern w:val="1"/>
          <w:sz w:val="22"/>
          <w:szCs w:val="22"/>
          <w:lang w:val="sk-SK"/>
        </w:rPr>
        <w:t>Zmeny</w:t>
      </w:r>
      <w:r w:rsidRPr="0033509A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 európskej legislatíve podľa článku B. tejto schémy alebo v akejkoľvek, s ňou súvisiacej legislatíve musia byť premietnuté do schémy v priebehu šiestich mesiacov od nadobudnutia ich platnosti a účinnosti.</w:t>
      </w:r>
    </w:p>
    <w:p w:rsidR="009A4F0D" w:rsidRPr="009A4F0D" w:rsidRDefault="009A4F0D" w:rsidP="00C231AE">
      <w:pPr>
        <w:widowControl w:val="0"/>
        <w:shd w:val="clear" w:color="auto" w:fill="FFFFFF" w:themeFill="background1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</w:p>
    <w:p w:rsidR="009A4F0D" w:rsidRPr="006552AD" w:rsidRDefault="008F04F1" w:rsidP="00C231AE">
      <w:pPr>
        <w:widowControl w:val="0"/>
        <w:shd w:val="clear" w:color="auto" w:fill="FFFFFF" w:themeFill="background1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R</w:t>
      </w:r>
      <w:r w:rsid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. </w:t>
      </w:r>
      <w:r w:rsidR="009A4F0D" w:rsidRP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Trvanie   schémy</w:t>
      </w:r>
    </w:p>
    <w:p w:rsidR="007C33F9" w:rsidRPr="006552AD" w:rsidRDefault="00AB3E93" w:rsidP="00C231AE">
      <w:pPr>
        <w:shd w:val="clear" w:color="auto" w:fill="FFFFFF" w:themeFill="background1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bCs/>
          <w:sz w:val="22"/>
          <w:lang w:val="sk-SK"/>
        </w:rPr>
      </w:pPr>
      <w:r>
        <w:rPr>
          <w:rFonts w:ascii="Times New Roman" w:hAnsi="Times New Roman" w:cs="Times New Roman"/>
          <w:b/>
          <w:color w:val="000000"/>
          <w:sz w:val="22"/>
          <w:lang w:val="sk-SK" w:eastAsia="sk-SK"/>
        </w:rPr>
        <w:t xml:space="preserve">R.1 </w:t>
      </w:r>
      <w:r w:rsidR="007C33F9" w:rsidRPr="007C33F9">
        <w:rPr>
          <w:rFonts w:ascii="Times New Roman" w:hAnsi="Times New Roman" w:cs="Times New Roman"/>
          <w:color w:val="000000"/>
          <w:sz w:val="22"/>
          <w:lang w:val="sk-SK" w:eastAsia="sk-SK"/>
        </w:rPr>
        <w:t xml:space="preserve">Platnosť a účinnosť schémy skončí </w:t>
      </w:r>
      <w:r w:rsidR="007C33F9" w:rsidRPr="007C33F9">
        <w:rPr>
          <w:rFonts w:ascii="Times New Roman" w:hAnsi="Times New Roman" w:cs="Times New Roman"/>
          <w:bCs/>
          <w:sz w:val="22"/>
          <w:lang w:val="sk-SK"/>
        </w:rPr>
        <w:t xml:space="preserve">31. </w:t>
      </w:r>
      <w:r w:rsidR="000F79F5">
        <w:rPr>
          <w:rFonts w:ascii="Times New Roman" w:hAnsi="Times New Roman" w:cs="Times New Roman"/>
          <w:bCs/>
          <w:sz w:val="22"/>
          <w:lang w:val="sk-SK"/>
        </w:rPr>
        <w:t>decembra 2020</w:t>
      </w:r>
      <w:r w:rsidR="007C33F9" w:rsidRPr="007C33F9">
        <w:rPr>
          <w:rFonts w:ascii="Times New Roman" w:hAnsi="Times New Roman" w:cs="Times New Roman"/>
          <w:bCs/>
          <w:sz w:val="22"/>
          <w:lang w:val="sk-SK"/>
        </w:rPr>
        <w:t>.</w:t>
      </w:r>
    </w:p>
    <w:p w:rsidR="000F79F5" w:rsidRDefault="00AB3E93" w:rsidP="00C231AE">
      <w:pPr>
        <w:shd w:val="clear" w:color="auto" w:fill="FFFFFF" w:themeFill="background1"/>
        <w:spacing w:after="120"/>
        <w:ind w:right="-488"/>
        <w:jc w:val="both"/>
        <w:rPr>
          <w:rFonts w:ascii="Times New Roman" w:hAnsi="Times New Roman" w:cs="Times New Roman"/>
          <w:sz w:val="22"/>
          <w:lang w:val="sk-SK"/>
        </w:rPr>
      </w:pPr>
      <w:r>
        <w:rPr>
          <w:rFonts w:ascii="Times New Roman" w:hAnsi="Times New Roman" w:cs="Times New Roman"/>
          <w:b/>
          <w:sz w:val="22"/>
          <w:lang w:val="sk-SK"/>
        </w:rPr>
        <w:t xml:space="preserve">R.2 </w:t>
      </w:r>
      <w:r w:rsidR="007C33F9" w:rsidRPr="007C33F9">
        <w:rPr>
          <w:rFonts w:ascii="Times New Roman" w:hAnsi="Times New Roman" w:cs="Times New Roman"/>
          <w:sz w:val="22"/>
          <w:lang w:val="sk-SK"/>
        </w:rPr>
        <w:t xml:space="preserve">Zmluva o poskytnutí NFP </w:t>
      </w:r>
      <w:r w:rsidR="002F079F">
        <w:rPr>
          <w:rFonts w:ascii="Times New Roman" w:hAnsi="Times New Roman" w:cs="Times New Roman"/>
          <w:sz w:val="22"/>
          <w:lang w:val="sk-SK"/>
        </w:rPr>
        <w:t xml:space="preserve">bude </w:t>
      </w:r>
      <w:r w:rsidR="00FA5BCC">
        <w:rPr>
          <w:rFonts w:ascii="Times New Roman" w:hAnsi="Times New Roman" w:cs="Times New Roman"/>
          <w:sz w:val="22"/>
          <w:lang w:val="sk-SK"/>
        </w:rPr>
        <w:t>uzatvorená</w:t>
      </w:r>
      <w:r w:rsidR="002F079F">
        <w:rPr>
          <w:rFonts w:ascii="Times New Roman" w:hAnsi="Times New Roman" w:cs="Times New Roman"/>
          <w:sz w:val="22"/>
          <w:lang w:val="sk-SK"/>
        </w:rPr>
        <w:t xml:space="preserve"> </w:t>
      </w:r>
      <w:r w:rsidR="00214F7F">
        <w:rPr>
          <w:rFonts w:ascii="Times New Roman" w:hAnsi="Times New Roman" w:cs="Times New Roman"/>
          <w:sz w:val="22"/>
          <w:lang w:val="sk-SK"/>
        </w:rPr>
        <w:t xml:space="preserve">a nadobudne účinnosť </w:t>
      </w:r>
      <w:r w:rsidR="00BE3F20">
        <w:rPr>
          <w:rFonts w:ascii="Times New Roman" w:hAnsi="Times New Roman" w:cs="Times New Roman"/>
          <w:sz w:val="22"/>
          <w:lang w:val="sk-SK"/>
        </w:rPr>
        <w:t xml:space="preserve"> </w:t>
      </w:r>
      <w:r w:rsidR="000F79F5">
        <w:rPr>
          <w:rFonts w:ascii="Times New Roman" w:hAnsi="Times New Roman" w:cs="Times New Roman"/>
          <w:sz w:val="22"/>
          <w:lang w:val="sk-SK"/>
        </w:rPr>
        <w:t>do 30. júna 2020</w:t>
      </w:r>
      <w:r w:rsidR="007C33F9" w:rsidRPr="007C33F9">
        <w:rPr>
          <w:rFonts w:ascii="Times New Roman" w:hAnsi="Times New Roman" w:cs="Times New Roman"/>
          <w:sz w:val="22"/>
          <w:lang w:val="sk-SK"/>
        </w:rPr>
        <w:t xml:space="preserve">. </w:t>
      </w:r>
    </w:p>
    <w:p w:rsidR="007C33F9" w:rsidRPr="006552AD" w:rsidRDefault="00AB3E93" w:rsidP="00C231AE">
      <w:pPr>
        <w:shd w:val="clear" w:color="auto" w:fill="FFFFFF" w:themeFill="background1"/>
        <w:spacing w:after="120"/>
        <w:ind w:right="-488"/>
        <w:jc w:val="both"/>
        <w:rPr>
          <w:rFonts w:ascii="Times New Roman" w:hAnsi="Times New Roman" w:cs="Times New Roman"/>
          <w:sz w:val="22"/>
          <w:lang w:val="sk-SK"/>
        </w:rPr>
      </w:pPr>
      <w:r>
        <w:rPr>
          <w:rFonts w:ascii="Times New Roman" w:hAnsi="Times New Roman" w:cs="Times New Roman"/>
          <w:b/>
          <w:sz w:val="22"/>
          <w:lang w:val="sk-SK"/>
        </w:rPr>
        <w:t xml:space="preserve">R.3 </w:t>
      </w:r>
      <w:r w:rsidR="000F79F5">
        <w:rPr>
          <w:rFonts w:ascii="Times New Roman" w:hAnsi="Times New Roman" w:cs="Times New Roman"/>
          <w:sz w:val="22"/>
          <w:lang w:val="sk-SK"/>
        </w:rPr>
        <w:t xml:space="preserve">Dňom poskytnutia pomoci sa rozumie deň nadobudnutia účinnosti Zmluvy o poskytnutí NFP. </w:t>
      </w:r>
      <w:r w:rsidR="007C33F9" w:rsidRPr="007C33F9">
        <w:rPr>
          <w:rFonts w:ascii="Times New Roman" w:hAnsi="Times New Roman" w:cs="Times New Roman"/>
          <w:sz w:val="22"/>
          <w:lang w:val="sk-SK"/>
        </w:rPr>
        <w:t xml:space="preserve"> </w:t>
      </w:r>
    </w:p>
    <w:p w:rsidR="009A4F0D" w:rsidRDefault="00AB3E93" w:rsidP="00C231AE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lang w:val="sk-SK"/>
        </w:rPr>
      </w:pPr>
      <w:r>
        <w:rPr>
          <w:rFonts w:ascii="Times New Roman" w:hAnsi="Times New Roman" w:cs="Times New Roman"/>
          <w:b/>
          <w:sz w:val="22"/>
          <w:lang w:val="sk-SK"/>
        </w:rPr>
        <w:t xml:space="preserve">R.4 </w:t>
      </w:r>
      <w:r w:rsidR="007C33F9" w:rsidRPr="007C33F9">
        <w:rPr>
          <w:rFonts w:ascii="Times New Roman" w:hAnsi="Times New Roman" w:cs="Times New Roman"/>
          <w:sz w:val="22"/>
          <w:lang w:val="sk-SK"/>
        </w:rPr>
        <w:t>Vyplatenie NFP j</w:t>
      </w:r>
      <w:r w:rsidR="000F79F5">
        <w:rPr>
          <w:rFonts w:ascii="Times New Roman" w:hAnsi="Times New Roman" w:cs="Times New Roman"/>
          <w:sz w:val="22"/>
          <w:lang w:val="sk-SK"/>
        </w:rPr>
        <w:t>e možné uskutočniť do 31.</w:t>
      </w:r>
      <w:r w:rsidR="003F6837">
        <w:rPr>
          <w:rFonts w:ascii="Times New Roman" w:hAnsi="Times New Roman" w:cs="Times New Roman"/>
          <w:sz w:val="22"/>
          <w:lang w:val="sk-SK"/>
        </w:rPr>
        <w:t xml:space="preserve"> </w:t>
      </w:r>
      <w:r w:rsidR="000F79F5">
        <w:rPr>
          <w:rFonts w:ascii="Times New Roman" w:hAnsi="Times New Roman" w:cs="Times New Roman"/>
          <w:sz w:val="22"/>
          <w:lang w:val="sk-SK"/>
        </w:rPr>
        <w:t xml:space="preserve">decembra </w:t>
      </w:r>
      <w:r w:rsidR="001B12D1">
        <w:rPr>
          <w:rFonts w:ascii="Times New Roman" w:hAnsi="Times New Roman" w:cs="Times New Roman"/>
          <w:sz w:val="22"/>
          <w:lang w:val="sk-SK"/>
        </w:rPr>
        <w:t>2023</w:t>
      </w:r>
      <w:r w:rsidR="000F79F5">
        <w:rPr>
          <w:rFonts w:ascii="Times New Roman" w:hAnsi="Times New Roman" w:cs="Times New Roman"/>
          <w:sz w:val="22"/>
          <w:lang w:val="sk-SK"/>
        </w:rPr>
        <w:t>,</w:t>
      </w:r>
      <w:r w:rsidR="007C33F9" w:rsidRPr="007C33F9">
        <w:rPr>
          <w:rFonts w:ascii="Times New Roman" w:hAnsi="Times New Roman" w:cs="Times New Roman"/>
          <w:sz w:val="22"/>
          <w:lang w:val="sk-SK"/>
        </w:rPr>
        <w:t xml:space="preserve"> po predložení dokladov preukazujúcich výšku oprávnených </w:t>
      </w:r>
      <w:r w:rsidR="00B91474">
        <w:rPr>
          <w:rFonts w:ascii="Times New Roman" w:hAnsi="Times New Roman" w:cs="Times New Roman"/>
          <w:sz w:val="22"/>
          <w:lang w:val="sk-SK"/>
        </w:rPr>
        <w:t>náklado</w:t>
      </w:r>
      <w:r w:rsidR="007C33F9" w:rsidRPr="007C33F9">
        <w:rPr>
          <w:rFonts w:ascii="Times New Roman" w:hAnsi="Times New Roman" w:cs="Times New Roman"/>
          <w:sz w:val="22"/>
          <w:lang w:val="sk-SK"/>
        </w:rPr>
        <w:t>v (ŽoP) a to na základe po</w:t>
      </w:r>
      <w:r w:rsidR="000F79F5">
        <w:rPr>
          <w:rFonts w:ascii="Times New Roman" w:hAnsi="Times New Roman" w:cs="Times New Roman"/>
          <w:sz w:val="22"/>
          <w:lang w:val="sk-SK"/>
        </w:rPr>
        <w:t>skytnutej pomoci do 30. júna 2020</w:t>
      </w:r>
      <w:r w:rsidR="007C33F9" w:rsidRPr="007C33F9">
        <w:rPr>
          <w:rFonts w:ascii="Times New Roman" w:hAnsi="Times New Roman" w:cs="Times New Roman"/>
          <w:sz w:val="22"/>
          <w:lang w:val="sk-SK"/>
        </w:rPr>
        <w:t>.</w:t>
      </w:r>
    </w:p>
    <w:p w:rsidR="006552AD" w:rsidRDefault="006552AD" w:rsidP="009A4F0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6552AD" w:rsidRPr="006552AD" w:rsidRDefault="008F04F1" w:rsidP="00284AE5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kern w:val="1"/>
          <w:sz w:val="22"/>
          <w:szCs w:val="22"/>
          <w:lang w:val="sk-SK"/>
        </w:rPr>
      </w:pPr>
      <w:r w:rsidRPr="00284AE5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S</w:t>
      </w:r>
      <w:r w:rsidR="006552AD" w:rsidRPr="00284AE5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. Prílohy</w:t>
      </w:r>
      <w:r w:rsidR="006552AD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 </w:t>
      </w:r>
    </w:p>
    <w:p w:rsidR="003F3DBB" w:rsidRDefault="00AB3E93" w:rsidP="006552AD">
      <w:pPr>
        <w:widowControl w:val="0"/>
        <w:autoSpaceDE w:val="0"/>
        <w:autoSpaceDN w:val="0"/>
        <w:adjustRightInd w:val="0"/>
        <w:spacing w:after="12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S.1 </w:t>
      </w:r>
      <w:r w:rsidR="00C231A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Prílohy k schéme </w:t>
      </w:r>
      <w:r w:rsidR="00C231AE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pre </w:t>
      </w:r>
      <w:r w:rsidR="00A22CE8">
        <w:rPr>
          <w:rFonts w:ascii="Times New Roman" w:hAnsi="Times New Roman" w:cs="Times New Roman"/>
          <w:color w:val="000000"/>
          <w:sz w:val="22"/>
          <w:szCs w:val="22"/>
          <w:lang w:val="sk-SK"/>
        </w:rPr>
        <w:t>podopatrenie 4</w:t>
      </w:r>
      <w:r w:rsidR="00C231AE">
        <w:rPr>
          <w:rFonts w:ascii="Times New Roman" w:hAnsi="Times New Roman" w:cs="Times New Roman"/>
          <w:color w:val="000000"/>
          <w:sz w:val="22"/>
          <w:szCs w:val="22"/>
          <w:lang w:val="sk-SK"/>
        </w:rPr>
        <w:t>.3</w:t>
      </w:r>
      <w:r w:rsidR="00C231AE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A22CE8">
        <w:rPr>
          <w:rFonts w:ascii="Times New Roman" w:hAnsi="Times New Roman" w:cs="Times New Roman"/>
          <w:sz w:val="22"/>
          <w:szCs w:val="22"/>
          <w:lang w:val="sk-SK"/>
        </w:rPr>
        <w:t>P</w:t>
      </w:r>
      <w:r w:rsidR="00A22CE8" w:rsidRPr="009A4F0D">
        <w:rPr>
          <w:rFonts w:ascii="Times New Roman" w:hAnsi="Times New Roman" w:cs="Times New Roman"/>
          <w:sz w:val="22"/>
          <w:szCs w:val="22"/>
          <w:lang w:val="sk-SK"/>
        </w:rPr>
        <w:t>odpor</w:t>
      </w:r>
      <w:r w:rsidR="00A22CE8">
        <w:rPr>
          <w:rFonts w:ascii="Times New Roman" w:hAnsi="Times New Roman" w:cs="Times New Roman"/>
          <w:sz w:val="22"/>
          <w:szCs w:val="22"/>
          <w:lang w:val="sk-SK"/>
        </w:rPr>
        <w:t xml:space="preserve">a </w:t>
      </w:r>
      <w:r w:rsidR="00A22CE8" w:rsidRPr="00FF3561">
        <w:rPr>
          <w:rFonts w:ascii="Times New Roman" w:hAnsi="Times New Roman" w:cs="Times New Roman"/>
          <w:bCs/>
          <w:sz w:val="22"/>
          <w:szCs w:val="22"/>
          <w:lang w:val="sk-SK"/>
        </w:rPr>
        <w:t>investícií do infraštruktúry súvisiacej s vývojom, modernizáciou alebo/a prispôsobením poľnohospodárstva a lesného hospodárstva – investície týkajúce sa infraštruktúry a prístupu k lesnej pôde</w:t>
      </w:r>
      <w:r w:rsidR="00A22CE8" w:rsidRPr="007C33F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9A4F0D" w:rsidRPr="007C33F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sa nachádzajú na </w:t>
      </w:r>
      <w:r w:rsidR="00C46C9C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nasledovných </w:t>
      </w:r>
      <w:r w:rsidR="009A4F0D" w:rsidRPr="007C33F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webových sídlach:  </w:t>
      </w:r>
    </w:p>
    <w:p w:rsidR="00C231AE" w:rsidRDefault="00C231AE" w:rsidP="00284AE5">
      <w:pPr>
        <w:widowControl w:val="0"/>
        <w:numPr>
          <w:ilvl w:val="0"/>
          <w:numId w:val="27"/>
        </w:numPr>
        <w:tabs>
          <w:tab w:val="left" w:pos="360"/>
          <w:tab w:val="left" w:pos="2160"/>
        </w:tabs>
        <w:autoSpaceDE w:val="0"/>
        <w:autoSpaceDN w:val="0"/>
        <w:adjustRightInd w:val="0"/>
        <w:ind w:left="42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A4F0D">
        <w:rPr>
          <w:rFonts w:ascii="Times New Roman" w:hAnsi="Times New Roman" w:cs="Times New Roman"/>
          <w:sz w:val="22"/>
          <w:szCs w:val="22"/>
          <w:lang w:val="sk-SK"/>
        </w:rPr>
        <w:t>Nariadenie Komisie (E</w:t>
      </w:r>
      <w:r>
        <w:rPr>
          <w:rFonts w:ascii="Times New Roman" w:hAnsi="Times New Roman" w:cs="Times New Roman"/>
          <w:sz w:val="22"/>
          <w:szCs w:val="22"/>
          <w:lang w:val="sk-SK"/>
        </w:rPr>
        <w:t>Ú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) č. </w:t>
      </w:r>
      <w:r>
        <w:rPr>
          <w:rFonts w:ascii="Times New Roman" w:hAnsi="Times New Roman" w:cs="Times New Roman"/>
          <w:sz w:val="22"/>
          <w:szCs w:val="22"/>
          <w:lang w:val="sk-SK"/>
        </w:rPr>
        <w:t>702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>/20</w:t>
      </w:r>
      <w:r>
        <w:rPr>
          <w:rFonts w:ascii="Times New Roman" w:hAnsi="Times New Roman" w:cs="Times New Roman"/>
          <w:sz w:val="22"/>
          <w:szCs w:val="22"/>
          <w:lang w:val="sk-SK"/>
        </w:rPr>
        <w:t>14 z 25. júna 2014, ktorým sa určité kategórie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pomoci </w:t>
      </w:r>
      <w:r>
        <w:rPr>
          <w:rFonts w:ascii="Times New Roman" w:hAnsi="Times New Roman" w:cs="Times New Roman"/>
          <w:sz w:val="22"/>
          <w:szCs w:val="22"/>
          <w:lang w:val="sk-SK"/>
        </w:rPr>
        <w:t>v odvetví poľnohospodárstva a lesného hospodárstva a vo vidieckych oblastiach vyhlasujú za zlučiteľné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s </w:t>
      </w:r>
      <w:r>
        <w:rPr>
          <w:rFonts w:ascii="Times New Roman" w:hAnsi="Times New Roman" w:cs="Times New Roman"/>
          <w:sz w:val="22"/>
          <w:szCs w:val="22"/>
          <w:lang w:val="sk-SK"/>
        </w:rPr>
        <w:t>vnútorným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trhom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pri uplatňovaní 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článkov </w:t>
      </w:r>
      <w:r>
        <w:rPr>
          <w:rFonts w:ascii="Times New Roman" w:hAnsi="Times New Roman" w:cs="Times New Roman"/>
          <w:sz w:val="22"/>
          <w:szCs w:val="22"/>
          <w:lang w:val="sk-SK"/>
        </w:rPr>
        <w:t>10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>7 a </w:t>
      </w:r>
      <w:r>
        <w:rPr>
          <w:rFonts w:ascii="Times New Roman" w:hAnsi="Times New Roman" w:cs="Times New Roman"/>
          <w:sz w:val="22"/>
          <w:szCs w:val="22"/>
          <w:lang w:val="sk-SK"/>
        </w:rPr>
        <w:t>10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>8</w:t>
      </w:r>
      <w:r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zverejnen</w:t>
      </w:r>
      <w:r>
        <w:rPr>
          <w:rFonts w:ascii="Times New Roman" w:hAnsi="Times New Roman" w:cs="Times New Roman"/>
          <w:sz w:val="22"/>
          <w:szCs w:val="22"/>
          <w:lang w:val="sk-SK"/>
        </w:rPr>
        <w:t>é</w:t>
      </w:r>
      <w:r w:rsidR="00284AE5">
        <w:rPr>
          <w:rFonts w:ascii="Times New Roman" w:hAnsi="Times New Roman" w:cs="Times New Roman"/>
          <w:sz w:val="22"/>
          <w:szCs w:val="22"/>
          <w:lang w:val="sk-SK"/>
        </w:rPr>
        <w:t xml:space="preserve"> v Úradnom 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vestníku EÚ pod č. Ú. v. L </w:t>
      </w:r>
      <w:r>
        <w:rPr>
          <w:rFonts w:ascii="Times New Roman" w:hAnsi="Times New Roman" w:cs="Times New Roman"/>
          <w:sz w:val="22"/>
          <w:szCs w:val="22"/>
          <w:lang w:val="sk-SK"/>
        </w:rPr>
        <w:t>193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k-SK"/>
        </w:rPr>
        <w:t>01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sk-SK"/>
        </w:rPr>
        <w:t>07. 2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>0</w:t>
      </w:r>
      <w:r>
        <w:rPr>
          <w:rFonts w:ascii="Times New Roman" w:hAnsi="Times New Roman" w:cs="Times New Roman"/>
          <w:sz w:val="22"/>
          <w:szCs w:val="22"/>
          <w:lang w:val="sk-SK"/>
        </w:rPr>
        <w:t>14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(</w:t>
      </w:r>
      <w:hyperlink r:id="rId12" w:history="1">
        <w:r w:rsidR="00284AE5" w:rsidRPr="003E083E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http://eur-lex.europa.eu/legal-content/EN/TXT/?uri=uriserv:OJ.L_.2014.193.01.0001.01.ENG</w:t>
        </w:r>
      </w:hyperlink>
      <w:r>
        <w:rPr>
          <w:rFonts w:ascii="Times New Roman" w:hAnsi="Times New Roman" w:cs="Times New Roman"/>
          <w:sz w:val="22"/>
          <w:szCs w:val="22"/>
          <w:lang w:val="sk-SK"/>
        </w:rPr>
        <w:t>);</w:t>
      </w:r>
      <w:r w:rsidR="00284AE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C231AE" w:rsidRDefault="00C231AE" w:rsidP="00284AE5">
      <w:pPr>
        <w:widowControl w:val="0"/>
        <w:numPr>
          <w:ilvl w:val="0"/>
          <w:numId w:val="27"/>
        </w:numPr>
        <w:tabs>
          <w:tab w:val="left" w:pos="360"/>
          <w:tab w:val="left" w:pos="2160"/>
        </w:tabs>
        <w:autoSpaceDE w:val="0"/>
        <w:autoSpaceDN w:val="0"/>
        <w:adjustRightInd w:val="0"/>
        <w:ind w:left="42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C231AE">
        <w:rPr>
          <w:rFonts w:ascii="Times New Roman" w:hAnsi="Times New Roman" w:cs="Times New Roman"/>
          <w:sz w:val="22"/>
          <w:szCs w:val="22"/>
          <w:lang w:val="sk-SK"/>
        </w:rPr>
        <w:t>Nariadenie EP a Rady</w:t>
      </w:r>
      <w:r w:rsidRPr="00C231AE">
        <w:rPr>
          <w:rFonts w:ascii="Times New Roman" w:hAnsi="Times New Roman" w:cs="Times New Roman"/>
          <w:bCs/>
          <w:color w:val="000000"/>
          <w:sz w:val="22"/>
          <w:szCs w:val="22"/>
          <w:lang w:val="sk-SK"/>
        </w:rPr>
        <w:t xml:space="preserve">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</w:r>
      <w:r w:rsidRPr="00C231AE">
        <w:rPr>
          <w:rFonts w:ascii="Times New Roman" w:hAnsi="Times New Roman" w:cs="Times New Roman"/>
          <w:sz w:val="22"/>
          <w:szCs w:val="22"/>
          <w:lang w:val="sk-SK"/>
        </w:rPr>
        <w:t>(Ú. v. L 347, 20. 12. 2013)</w:t>
      </w:r>
      <w:r w:rsidR="00284AE5">
        <w:rPr>
          <w:rFonts w:ascii="Times New Roman" w:hAnsi="Times New Roman" w:cs="Times New Roman"/>
          <w:bCs/>
          <w:color w:val="000000"/>
          <w:sz w:val="22"/>
          <w:szCs w:val="22"/>
          <w:lang w:val="sk-SK"/>
        </w:rPr>
        <w:t xml:space="preserve">, </w:t>
      </w:r>
      <w:r w:rsidRPr="00C231AE">
        <w:rPr>
          <w:rFonts w:ascii="Times New Roman" w:hAnsi="Times New Roman" w:cs="Times New Roman"/>
          <w:bCs/>
          <w:color w:val="000000"/>
          <w:sz w:val="22"/>
          <w:szCs w:val="22"/>
          <w:lang w:val="sk-SK"/>
        </w:rPr>
        <w:t>(</w:t>
      </w:r>
      <w:hyperlink r:id="rId13" w:history="1">
        <w:r w:rsidR="00284AE5" w:rsidRPr="003E083E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val="sk-SK"/>
          </w:rPr>
          <w:t>http://eur-lex.europa.eu/LexUriServ/LexUriServ.do?uri=OJ:L:2013 :347:0320:0469:SK:PDF</w:t>
        </w:r>
      </w:hyperlink>
      <w:r w:rsidRPr="00C231AE">
        <w:rPr>
          <w:rFonts w:ascii="Times New Roman" w:hAnsi="Times New Roman" w:cs="Times New Roman"/>
          <w:bCs/>
          <w:color w:val="000000"/>
          <w:sz w:val="22"/>
          <w:szCs w:val="22"/>
          <w:lang w:val="sk-SK"/>
        </w:rPr>
        <w:t>);</w:t>
      </w:r>
      <w:r w:rsidR="00284AE5">
        <w:rPr>
          <w:rFonts w:ascii="Times New Roman" w:hAnsi="Times New Roman" w:cs="Times New Roman"/>
          <w:bCs/>
          <w:color w:val="000000"/>
          <w:sz w:val="22"/>
          <w:szCs w:val="22"/>
          <w:lang w:val="sk-SK"/>
        </w:rPr>
        <w:t xml:space="preserve"> </w:t>
      </w:r>
    </w:p>
    <w:p w:rsidR="00C231AE" w:rsidRDefault="00C231AE" w:rsidP="00284AE5">
      <w:pPr>
        <w:widowControl w:val="0"/>
        <w:numPr>
          <w:ilvl w:val="0"/>
          <w:numId w:val="27"/>
        </w:numPr>
        <w:tabs>
          <w:tab w:val="left" w:pos="360"/>
          <w:tab w:val="left" w:pos="2160"/>
        </w:tabs>
        <w:autoSpaceDE w:val="0"/>
        <w:autoSpaceDN w:val="0"/>
        <w:adjustRightInd w:val="0"/>
        <w:ind w:left="42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C231AE">
        <w:rPr>
          <w:rFonts w:ascii="Times New Roman" w:hAnsi="Times New Roman" w:cs="Times New Roman"/>
          <w:sz w:val="22"/>
          <w:szCs w:val="22"/>
          <w:lang w:val="sk-SK"/>
        </w:rPr>
        <w:t>Nariadenie EP a Rady (EÚ) č. 1305/2013 zo 17. decembra 2013 o podpore rozvoja vidieka prostredníctvom Európskeho poľnohospodárskeho fondu pre rozvoj vidieka (EPFRV) a o zrušení nariadenia Rady (ES) č. 1698/2005 (Ú. v. L 347, 20. 12. 2013</w:t>
      </w:r>
      <w:r>
        <w:rPr>
          <w:rFonts w:ascii="Times New Roman" w:hAnsi="Times New Roman" w:cs="Times New Roman"/>
          <w:sz w:val="22"/>
          <w:szCs w:val="22"/>
          <w:lang w:val="sk-SK"/>
        </w:rPr>
        <w:t>), (</w:t>
      </w:r>
      <w:hyperlink r:id="rId14" w:history="1">
        <w:r w:rsidR="00284AE5" w:rsidRPr="003E083E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http://eur-lex.europa.eu/LexUriServ/LexUriServ.do?uri=OJ:L:2013:347:0487:0548:sk:PDF</w:t>
        </w:r>
      </w:hyperlink>
      <w:r>
        <w:rPr>
          <w:rFonts w:ascii="Times New Roman" w:hAnsi="Times New Roman" w:cs="Times New Roman"/>
          <w:sz w:val="22"/>
          <w:szCs w:val="22"/>
          <w:lang w:val="sk-SK"/>
        </w:rPr>
        <w:t>);</w:t>
      </w:r>
      <w:r w:rsidR="00284AE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1C2CF8" w:rsidRDefault="00C231AE" w:rsidP="001C2CF8">
      <w:pPr>
        <w:widowControl w:val="0"/>
        <w:numPr>
          <w:ilvl w:val="0"/>
          <w:numId w:val="27"/>
        </w:numPr>
        <w:tabs>
          <w:tab w:val="left" w:pos="360"/>
          <w:tab w:val="left" w:pos="2160"/>
        </w:tabs>
        <w:autoSpaceDE w:val="0"/>
        <w:autoSpaceDN w:val="0"/>
        <w:adjustRightInd w:val="0"/>
        <w:spacing w:after="120"/>
        <w:ind w:left="426"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C231AE">
        <w:rPr>
          <w:rFonts w:ascii="Times New Roman" w:hAnsi="Times New Roman" w:cs="Times New Roman"/>
          <w:sz w:val="22"/>
          <w:szCs w:val="22"/>
          <w:lang w:val="sk-SK"/>
        </w:rPr>
        <w:t>Delegované nariadenie Komisie (EÚ) č. 807/2014 z 11. marca 2014, ktorým sa dopĺňa nariadenia EP a Rady (EÚ) č. 1305/2013 o podpore rozvoja vidieka prostredníctvom Európskeho poľnohospodárskeho fondu pre rozvoj vidieka (EPFRV) a ktorým sa zavádzajú prechodné ustanovenia (Ú. v. L 227, 31. 07. 2014), (</w:t>
      </w:r>
      <w:hyperlink r:id="rId15" w:history="1">
        <w:r w:rsidR="00284AE5" w:rsidRPr="003E083E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http://eur-lex.europa.eu/legal-content/sk/TXT/?uri=CELEX:32014R0807</w:t>
        </w:r>
      </w:hyperlink>
      <w:r w:rsidR="00284AE5">
        <w:rPr>
          <w:rFonts w:ascii="Times New Roman" w:hAnsi="Times New Roman" w:cs="Times New Roman"/>
          <w:sz w:val="22"/>
          <w:szCs w:val="22"/>
          <w:lang w:val="sk-SK"/>
        </w:rPr>
        <w:t xml:space="preserve">). </w:t>
      </w:r>
    </w:p>
    <w:p w:rsidR="001C2CF8" w:rsidRPr="001C2CF8" w:rsidRDefault="00AB3E93" w:rsidP="001C2CF8">
      <w:pPr>
        <w:widowControl w:val="0"/>
        <w:tabs>
          <w:tab w:val="left" w:pos="360"/>
          <w:tab w:val="left" w:pos="2160"/>
        </w:tabs>
        <w:autoSpaceDE w:val="0"/>
        <w:autoSpaceDN w:val="0"/>
        <w:adjustRightInd w:val="0"/>
        <w:spacing w:after="120"/>
        <w:ind w:left="66"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lang w:val="sk-SK"/>
        </w:rPr>
        <w:t xml:space="preserve">S.2 </w:t>
      </w:r>
      <w:r w:rsidR="001C2CF8" w:rsidRPr="001C2CF8">
        <w:rPr>
          <w:rFonts w:ascii="Times New Roman" w:hAnsi="Times New Roman" w:cs="Times New Roman"/>
          <w:sz w:val="22"/>
          <w:lang w:val="sk-SK"/>
        </w:rPr>
        <w:t xml:space="preserve">Dokumenty v súvislosti s predkladaním ŽoNFP sú uverejnené na webovom sídle </w:t>
      </w:r>
      <w:r w:rsidR="001C2CF8">
        <w:rPr>
          <w:rFonts w:ascii="Times New Roman" w:hAnsi="Times New Roman" w:cs="Times New Roman"/>
          <w:sz w:val="22"/>
          <w:lang w:val="sk-SK"/>
        </w:rPr>
        <w:t>ministerstva a </w:t>
      </w:r>
      <w:r w:rsidR="001C2CF8" w:rsidRPr="001C2CF8">
        <w:rPr>
          <w:rFonts w:ascii="Times New Roman" w:hAnsi="Times New Roman" w:cs="Times New Roman"/>
          <w:sz w:val="22"/>
          <w:lang w:val="sk-SK"/>
        </w:rPr>
        <w:t>PPA</w:t>
      </w:r>
      <w:r w:rsidR="001C2CF8">
        <w:rPr>
          <w:rFonts w:ascii="Times New Roman" w:hAnsi="Times New Roman" w:cs="Times New Roman"/>
          <w:sz w:val="22"/>
          <w:lang w:val="sk-SK"/>
        </w:rPr>
        <w:t>,</w:t>
      </w:r>
      <w:r w:rsidR="001C2CF8" w:rsidRPr="001C2CF8">
        <w:rPr>
          <w:rFonts w:ascii="Times New Roman" w:hAnsi="Times New Roman" w:cs="Times New Roman"/>
          <w:sz w:val="22"/>
          <w:lang w:val="sk-SK"/>
        </w:rPr>
        <w:t xml:space="preserve"> najneskôr v deň vyhlásenia výzvy.</w:t>
      </w:r>
    </w:p>
    <w:p w:rsidR="001C2CF8" w:rsidRDefault="001C2CF8" w:rsidP="001C2CF8">
      <w:pPr>
        <w:widowControl w:val="0"/>
        <w:tabs>
          <w:tab w:val="left" w:pos="360"/>
          <w:tab w:val="left" w:pos="2160"/>
        </w:tabs>
        <w:autoSpaceDE w:val="0"/>
        <w:autoSpaceDN w:val="0"/>
        <w:adjustRightInd w:val="0"/>
        <w:ind w:left="6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B9229D" w:rsidRPr="007C33F9" w:rsidRDefault="00B9229D" w:rsidP="006552AD">
      <w:pPr>
        <w:spacing w:after="12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sectPr w:rsidR="00B9229D" w:rsidRPr="007C33F9" w:rsidSect="00CB279C">
      <w:foot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E" w:rsidRDefault="00016B0E" w:rsidP="00C92FD9">
      <w:r>
        <w:separator/>
      </w:r>
    </w:p>
  </w:endnote>
  <w:endnote w:type="continuationSeparator" w:id="0">
    <w:p w:rsidR="00016B0E" w:rsidRDefault="00016B0E" w:rsidP="00C9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350776"/>
      <w:docPartObj>
        <w:docPartGallery w:val="Page Numbers (Bottom of Page)"/>
        <w:docPartUnique/>
      </w:docPartObj>
    </w:sdtPr>
    <w:sdtEndPr/>
    <w:sdtContent>
      <w:p w:rsidR="001C18D5" w:rsidRDefault="001C18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74D" w:rsidRPr="00C8474D">
          <w:rPr>
            <w:noProof/>
            <w:lang w:val="sk-SK"/>
          </w:rPr>
          <w:t>10</w:t>
        </w:r>
        <w:r>
          <w:fldChar w:fldCharType="end"/>
        </w:r>
      </w:p>
    </w:sdtContent>
  </w:sdt>
  <w:p w:rsidR="001A79BD" w:rsidRDefault="001A79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E" w:rsidRDefault="00016B0E" w:rsidP="00C92FD9">
      <w:r>
        <w:separator/>
      </w:r>
    </w:p>
  </w:footnote>
  <w:footnote w:type="continuationSeparator" w:id="0">
    <w:p w:rsidR="00016B0E" w:rsidRDefault="00016B0E" w:rsidP="00C9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0"/>
    <w:multiLevelType w:val="hybridMultilevel"/>
    <w:tmpl w:val="53CC0976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000005DF">
      <w:start w:val="1"/>
      <w:numFmt w:val="lowerRoman"/>
      <w:lvlText w:val="%3."/>
      <w:lvlJc w:val="left"/>
      <w:pPr>
        <w:ind w:left="2160" w:hanging="360"/>
      </w:pPr>
    </w:lvl>
    <w:lvl w:ilvl="3" w:tplc="E182D1A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00000642">
      <w:start w:val="1"/>
      <w:numFmt w:val="bullet"/>
      <w:lvlText w:val="•"/>
      <w:lvlJc w:val="left"/>
      <w:pPr>
        <w:ind w:left="1440" w:hanging="360"/>
      </w:pPr>
    </w:lvl>
    <w:lvl w:ilvl="2" w:tplc="00000643">
      <w:start w:val="1"/>
      <w:numFmt w:val="bullet"/>
      <w:lvlText w:val="•"/>
      <w:lvlJc w:val="left"/>
      <w:pPr>
        <w:ind w:left="2160" w:hanging="360"/>
      </w:pPr>
    </w:lvl>
    <w:lvl w:ilvl="3" w:tplc="0000064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0000070A">
      <w:start w:val="1"/>
      <w:numFmt w:val="bullet"/>
      <w:lvlText w:val="•"/>
      <w:lvlJc w:val="left"/>
      <w:pPr>
        <w:ind w:left="1440" w:hanging="360"/>
      </w:pPr>
    </w:lvl>
    <w:lvl w:ilvl="2" w:tplc="0000070B">
      <w:start w:val="1"/>
      <w:numFmt w:val="bullet"/>
      <w:lvlText w:val="•"/>
      <w:lvlJc w:val="left"/>
      <w:pPr>
        <w:ind w:left="2160" w:hanging="360"/>
      </w:pPr>
    </w:lvl>
    <w:lvl w:ilvl="3" w:tplc="0000070C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15"/>
    <w:multiLevelType w:val="hybridMultilevel"/>
    <w:tmpl w:val="59324228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000007D2">
      <w:start w:val="1"/>
      <w:numFmt w:val="lowerLetter"/>
      <w:lvlText w:val="%2."/>
      <w:lvlJc w:val="left"/>
      <w:pPr>
        <w:ind w:left="1440" w:hanging="360"/>
      </w:pPr>
    </w:lvl>
    <w:lvl w:ilvl="2" w:tplc="000007D3">
      <w:start w:val="1"/>
      <w:numFmt w:val="lowerRoman"/>
      <w:lvlText w:val="%3."/>
      <w:lvlJc w:val="left"/>
      <w:pPr>
        <w:ind w:left="2160" w:hanging="360"/>
      </w:pPr>
    </w:lvl>
    <w:lvl w:ilvl="3" w:tplc="734CAD10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25"/>
    <w:multiLevelType w:val="hybridMultilevel"/>
    <w:tmpl w:val="00000025"/>
    <w:lvl w:ilvl="0" w:tplc="00000E11">
      <w:start w:val="1"/>
      <w:numFmt w:val="decimal"/>
      <w:lvlText w:val="%1."/>
      <w:lvlJc w:val="left"/>
      <w:pPr>
        <w:ind w:left="720" w:hanging="360"/>
      </w:pPr>
    </w:lvl>
    <w:lvl w:ilvl="1" w:tplc="00000E1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E03679"/>
    <w:multiLevelType w:val="hybridMultilevel"/>
    <w:tmpl w:val="0A885290"/>
    <w:lvl w:ilvl="0" w:tplc="76AE5C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33943"/>
    <w:multiLevelType w:val="hybridMultilevel"/>
    <w:tmpl w:val="DBD86B10"/>
    <w:lvl w:ilvl="0" w:tplc="358ED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0B207444"/>
    <w:multiLevelType w:val="hybridMultilevel"/>
    <w:tmpl w:val="3ADEB06E"/>
    <w:lvl w:ilvl="0" w:tplc="53D20E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45935"/>
    <w:multiLevelType w:val="hybridMultilevel"/>
    <w:tmpl w:val="7FC4FF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7E2800C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C0248"/>
    <w:multiLevelType w:val="hybridMultilevel"/>
    <w:tmpl w:val="680E6AEE"/>
    <w:lvl w:ilvl="0" w:tplc="C6402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  <w:rPr>
        <w:rFonts w:cs="Times New Roman"/>
      </w:rPr>
    </w:lvl>
  </w:abstractNum>
  <w:abstractNum w:abstractNumId="12">
    <w:nsid w:val="19173E9F"/>
    <w:multiLevelType w:val="hybridMultilevel"/>
    <w:tmpl w:val="1B20E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C1275"/>
    <w:multiLevelType w:val="hybridMultilevel"/>
    <w:tmpl w:val="07BCFF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A62EE"/>
    <w:multiLevelType w:val="hybridMultilevel"/>
    <w:tmpl w:val="3B605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33FEC"/>
    <w:multiLevelType w:val="hybridMultilevel"/>
    <w:tmpl w:val="07BCFF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87578"/>
    <w:multiLevelType w:val="hybridMultilevel"/>
    <w:tmpl w:val="76B44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A6E60"/>
    <w:multiLevelType w:val="hybridMultilevel"/>
    <w:tmpl w:val="FA88B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1E201C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D4FE0"/>
    <w:multiLevelType w:val="hybridMultilevel"/>
    <w:tmpl w:val="35FA1A38"/>
    <w:lvl w:ilvl="0" w:tplc="041B001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0867B0"/>
    <w:multiLevelType w:val="hybridMultilevel"/>
    <w:tmpl w:val="1606434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C40475"/>
    <w:multiLevelType w:val="hybridMultilevel"/>
    <w:tmpl w:val="399A4E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A35CC"/>
    <w:multiLevelType w:val="hybridMultilevel"/>
    <w:tmpl w:val="0666F6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92125"/>
    <w:multiLevelType w:val="hybridMultilevel"/>
    <w:tmpl w:val="6DA820B0"/>
    <w:lvl w:ilvl="0" w:tplc="62C48E8A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B3E8D"/>
    <w:multiLevelType w:val="hybridMultilevel"/>
    <w:tmpl w:val="2EA492C2"/>
    <w:lvl w:ilvl="0" w:tplc="041B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17A4F"/>
    <w:multiLevelType w:val="hybridMultilevel"/>
    <w:tmpl w:val="BFA0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B66AA"/>
    <w:multiLevelType w:val="hybridMultilevel"/>
    <w:tmpl w:val="A4480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14B5D"/>
    <w:multiLevelType w:val="hybridMultilevel"/>
    <w:tmpl w:val="83D024AC"/>
    <w:lvl w:ilvl="0" w:tplc="7A7C86B6">
      <w:start w:val="2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169AC"/>
    <w:multiLevelType w:val="hybridMultilevel"/>
    <w:tmpl w:val="C1A20F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3E9C38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494E96"/>
    <w:multiLevelType w:val="hybridMultilevel"/>
    <w:tmpl w:val="157ECCAC"/>
    <w:lvl w:ilvl="0" w:tplc="7EA61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5408D"/>
    <w:multiLevelType w:val="hybridMultilevel"/>
    <w:tmpl w:val="51BC22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D2892"/>
    <w:multiLevelType w:val="hybridMultilevel"/>
    <w:tmpl w:val="42A42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816AC"/>
    <w:multiLevelType w:val="hybridMultilevel"/>
    <w:tmpl w:val="CE820800"/>
    <w:lvl w:ilvl="0" w:tplc="53D20E2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9"/>
  </w:num>
  <w:num w:numId="10">
    <w:abstractNumId w:val="11"/>
  </w:num>
  <w:num w:numId="11">
    <w:abstractNumId w:val="29"/>
  </w:num>
  <w:num w:numId="12">
    <w:abstractNumId w:val="31"/>
  </w:num>
  <w:num w:numId="13">
    <w:abstractNumId w:val="16"/>
  </w:num>
  <w:num w:numId="14">
    <w:abstractNumId w:val="22"/>
  </w:num>
  <w:num w:numId="15">
    <w:abstractNumId w:val="7"/>
  </w:num>
  <w:num w:numId="16">
    <w:abstractNumId w:val="2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6"/>
  </w:num>
  <w:num w:numId="20">
    <w:abstractNumId w:val="14"/>
  </w:num>
  <w:num w:numId="21">
    <w:abstractNumId w:val="12"/>
  </w:num>
  <w:num w:numId="22">
    <w:abstractNumId w:val="30"/>
  </w:num>
  <w:num w:numId="23">
    <w:abstractNumId w:val="15"/>
  </w:num>
  <w:num w:numId="24">
    <w:abstractNumId w:val="25"/>
  </w:num>
  <w:num w:numId="25">
    <w:abstractNumId w:val="10"/>
  </w:num>
  <w:num w:numId="26">
    <w:abstractNumId w:val="27"/>
  </w:num>
  <w:num w:numId="27">
    <w:abstractNumId w:val="28"/>
  </w:num>
  <w:num w:numId="28">
    <w:abstractNumId w:val="8"/>
  </w:num>
  <w:num w:numId="29">
    <w:abstractNumId w:val="18"/>
  </w:num>
  <w:num w:numId="30">
    <w:abstractNumId w:val="19"/>
  </w:num>
  <w:num w:numId="31">
    <w:abstractNumId w:val="20"/>
  </w:num>
  <w:num w:numId="32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0D"/>
    <w:rsid w:val="0000318E"/>
    <w:rsid w:val="00012957"/>
    <w:rsid w:val="00016B0E"/>
    <w:rsid w:val="00027E53"/>
    <w:rsid w:val="000315C7"/>
    <w:rsid w:val="00033B2D"/>
    <w:rsid w:val="0003730D"/>
    <w:rsid w:val="000400E3"/>
    <w:rsid w:val="00044E7F"/>
    <w:rsid w:val="00045EDB"/>
    <w:rsid w:val="000557D3"/>
    <w:rsid w:val="00060428"/>
    <w:rsid w:val="000749D1"/>
    <w:rsid w:val="000759FE"/>
    <w:rsid w:val="00077604"/>
    <w:rsid w:val="00083F7C"/>
    <w:rsid w:val="00085770"/>
    <w:rsid w:val="0009586E"/>
    <w:rsid w:val="000A12DE"/>
    <w:rsid w:val="000B57C2"/>
    <w:rsid w:val="000C23BC"/>
    <w:rsid w:val="000C7629"/>
    <w:rsid w:val="000E33A0"/>
    <w:rsid w:val="000E4D18"/>
    <w:rsid w:val="000F3149"/>
    <w:rsid w:val="000F443B"/>
    <w:rsid w:val="000F79F5"/>
    <w:rsid w:val="001008DF"/>
    <w:rsid w:val="0011082C"/>
    <w:rsid w:val="001260D3"/>
    <w:rsid w:val="00130FE7"/>
    <w:rsid w:val="001342B7"/>
    <w:rsid w:val="00145B2B"/>
    <w:rsid w:val="00150A72"/>
    <w:rsid w:val="00156880"/>
    <w:rsid w:val="0017534A"/>
    <w:rsid w:val="001760DF"/>
    <w:rsid w:val="001A4574"/>
    <w:rsid w:val="001A616F"/>
    <w:rsid w:val="001A780D"/>
    <w:rsid w:val="001A79BD"/>
    <w:rsid w:val="001A7BF9"/>
    <w:rsid w:val="001B12D1"/>
    <w:rsid w:val="001C18D5"/>
    <w:rsid w:val="001C285C"/>
    <w:rsid w:val="001C2CF8"/>
    <w:rsid w:val="001C7AF5"/>
    <w:rsid w:val="001D60EA"/>
    <w:rsid w:val="001F03E0"/>
    <w:rsid w:val="0021478B"/>
    <w:rsid w:val="00214F7F"/>
    <w:rsid w:val="00215295"/>
    <w:rsid w:val="002166BC"/>
    <w:rsid w:val="002305A2"/>
    <w:rsid w:val="00232074"/>
    <w:rsid w:val="0024537D"/>
    <w:rsid w:val="002640A3"/>
    <w:rsid w:val="002801B8"/>
    <w:rsid w:val="00284AE5"/>
    <w:rsid w:val="00290352"/>
    <w:rsid w:val="002B452B"/>
    <w:rsid w:val="002B4895"/>
    <w:rsid w:val="002B7F19"/>
    <w:rsid w:val="002C0666"/>
    <w:rsid w:val="002C7689"/>
    <w:rsid w:val="002D3DAA"/>
    <w:rsid w:val="002F079F"/>
    <w:rsid w:val="002F3D63"/>
    <w:rsid w:val="00307B13"/>
    <w:rsid w:val="00322200"/>
    <w:rsid w:val="00324604"/>
    <w:rsid w:val="0033509A"/>
    <w:rsid w:val="003353EE"/>
    <w:rsid w:val="00340AA3"/>
    <w:rsid w:val="00346A40"/>
    <w:rsid w:val="0035162E"/>
    <w:rsid w:val="00353DA2"/>
    <w:rsid w:val="0037258C"/>
    <w:rsid w:val="003A3407"/>
    <w:rsid w:val="003B457B"/>
    <w:rsid w:val="003C0247"/>
    <w:rsid w:val="003C31C8"/>
    <w:rsid w:val="003E609F"/>
    <w:rsid w:val="003F3DBB"/>
    <w:rsid w:val="003F6837"/>
    <w:rsid w:val="00411F89"/>
    <w:rsid w:val="0042493B"/>
    <w:rsid w:val="004265C0"/>
    <w:rsid w:val="004277A1"/>
    <w:rsid w:val="00436140"/>
    <w:rsid w:val="0044673E"/>
    <w:rsid w:val="00460E1B"/>
    <w:rsid w:val="00464470"/>
    <w:rsid w:val="004A1AAB"/>
    <w:rsid w:val="004A2F1D"/>
    <w:rsid w:val="004B2676"/>
    <w:rsid w:val="004C1380"/>
    <w:rsid w:val="004E3233"/>
    <w:rsid w:val="004F22BF"/>
    <w:rsid w:val="004F334B"/>
    <w:rsid w:val="00525CDD"/>
    <w:rsid w:val="005300EB"/>
    <w:rsid w:val="00534928"/>
    <w:rsid w:val="00536BE6"/>
    <w:rsid w:val="005375F9"/>
    <w:rsid w:val="005664B3"/>
    <w:rsid w:val="00572755"/>
    <w:rsid w:val="005764D4"/>
    <w:rsid w:val="005770BD"/>
    <w:rsid w:val="00582B3E"/>
    <w:rsid w:val="005A5061"/>
    <w:rsid w:val="005B6D8A"/>
    <w:rsid w:val="005D788E"/>
    <w:rsid w:val="005D790C"/>
    <w:rsid w:val="005E1FFD"/>
    <w:rsid w:val="005F6997"/>
    <w:rsid w:val="005F7DDD"/>
    <w:rsid w:val="006010B8"/>
    <w:rsid w:val="00630121"/>
    <w:rsid w:val="0063508F"/>
    <w:rsid w:val="00645B6E"/>
    <w:rsid w:val="00645EEF"/>
    <w:rsid w:val="0065138B"/>
    <w:rsid w:val="006552AD"/>
    <w:rsid w:val="00655BC1"/>
    <w:rsid w:val="00656AD1"/>
    <w:rsid w:val="00662120"/>
    <w:rsid w:val="0066463F"/>
    <w:rsid w:val="00672BB6"/>
    <w:rsid w:val="00693904"/>
    <w:rsid w:val="00695B4C"/>
    <w:rsid w:val="006972EA"/>
    <w:rsid w:val="006A20B1"/>
    <w:rsid w:val="006B16EA"/>
    <w:rsid w:val="006B47A5"/>
    <w:rsid w:val="006D384F"/>
    <w:rsid w:val="006D3C80"/>
    <w:rsid w:val="006D3D5A"/>
    <w:rsid w:val="006E65A9"/>
    <w:rsid w:val="006F408A"/>
    <w:rsid w:val="006F4FD1"/>
    <w:rsid w:val="006F50FD"/>
    <w:rsid w:val="0071181A"/>
    <w:rsid w:val="00737501"/>
    <w:rsid w:val="00744522"/>
    <w:rsid w:val="00747C60"/>
    <w:rsid w:val="00757FA4"/>
    <w:rsid w:val="00760300"/>
    <w:rsid w:val="00767EE0"/>
    <w:rsid w:val="0078631B"/>
    <w:rsid w:val="0079053A"/>
    <w:rsid w:val="007A1697"/>
    <w:rsid w:val="007A4B37"/>
    <w:rsid w:val="007A7A93"/>
    <w:rsid w:val="007C33F9"/>
    <w:rsid w:val="007C361C"/>
    <w:rsid w:val="007C6C12"/>
    <w:rsid w:val="007D1A45"/>
    <w:rsid w:val="007D2F52"/>
    <w:rsid w:val="007E7D82"/>
    <w:rsid w:val="008117FD"/>
    <w:rsid w:val="00820619"/>
    <w:rsid w:val="00830BCE"/>
    <w:rsid w:val="00840780"/>
    <w:rsid w:val="008853EB"/>
    <w:rsid w:val="008854B9"/>
    <w:rsid w:val="008914CF"/>
    <w:rsid w:val="008A4FC0"/>
    <w:rsid w:val="008C7BA9"/>
    <w:rsid w:val="008D4169"/>
    <w:rsid w:val="008D60BE"/>
    <w:rsid w:val="008F04F1"/>
    <w:rsid w:val="008F7BB0"/>
    <w:rsid w:val="009034F7"/>
    <w:rsid w:val="009043A0"/>
    <w:rsid w:val="00906144"/>
    <w:rsid w:val="0091155A"/>
    <w:rsid w:val="0093139B"/>
    <w:rsid w:val="00932DAB"/>
    <w:rsid w:val="00954ADC"/>
    <w:rsid w:val="00964382"/>
    <w:rsid w:val="00975AC9"/>
    <w:rsid w:val="0098716B"/>
    <w:rsid w:val="009A39B2"/>
    <w:rsid w:val="009A4BEC"/>
    <w:rsid w:val="009A4F0D"/>
    <w:rsid w:val="009A6DE0"/>
    <w:rsid w:val="009A7A06"/>
    <w:rsid w:val="009B4A92"/>
    <w:rsid w:val="009C2B18"/>
    <w:rsid w:val="009E02D2"/>
    <w:rsid w:val="009F40B5"/>
    <w:rsid w:val="009F7E11"/>
    <w:rsid w:val="00A05F5B"/>
    <w:rsid w:val="00A07C19"/>
    <w:rsid w:val="00A11491"/>
    <w:rsid w:val="00A15F15"/>
    <w:rsid w:val="00A21559"/>
    <w:rsid w:val="00A22CE8"/>
    <w:rsid w:val="00A248E1"/>
    <w:rsid w:val="00A33CB5"/>
    <w:rsid w:val="00A44547"/>
    <w:rsid w:val="00A46CF6"/>
    <w:rsid w:val="00A537C5"/>
    <w:rsid w:val="00A53A6A"/>
    <w:rsid w:val="00A6166D"/>
    <w:rsid w:val="00A724B6"/>
    <w:rsid w:val="00A74413"/>
    <w:rsid w:val="00A7635E"/>
    <w:rsid w:val="00A81182"/>
    <w:rsid w:val="00A87C73"/>
    <w:rsid w:val="00A95116"/>
    <w:rsid w:val="00A95224"/>
    <w:rsid w:val="00A973AA"/>
    <w:rsid w:val="00AA0ABB"/>
    <w:rsid w:val="00AB3E93"/>
    <w:rsid w:val="00AB3F08"/>
    <w:rsid w:val="00AB7793"/>
    <w:rsid w:val="00AC4577"/>
    <w:rsid w:val="00AF2643"/>
    <w:rsid w:val="00B002E8"/>
    <w:rsid w:val="00B10018"/>
    <w:rsid w:val="00B128C3"/>
    <w:rsid w:val="00B16B35"/>
    <w:rsid w:val="00B21D44"/>
    <w:rsid w:val="00B22056"/>
    <w:rsid w:val="00B3333B"/>
    <w:rsid w:val="00B5110D"/>
    <w:rsid w:val="00B71716"/>
    <w:rsid w:val="00B761A2"/>
    <w:rsid w:val="00B82412"/>
    <w:rsid w:val="00B86F6E"/>
    <w:rsid w:val="00B91474"/>
    <w:rsid w:val="00B9229D"/>
    <w:rsid w:val="00B95B6F"/>
    <w:rsid w:val="00B96DAD"/>
    <w:rsid w:val="00BA6E24"/>
    <w:rsid w:val="00BB4F68"/>
    <w:rsid w:val="00BC11F5"/>
    <w:rsid w:val="00BC660B"/>
    <w:rsid w:val="00BE3F20"/>
    <w:rsid w:val="00BF3FFE"/>
    <w:rsid w:val="00C13974"/>
    <w:rsid w:val="00C15F2E"/>
    <w:rsid w:val="00C231AE"/>
    <w:rsid w:val="00C266A9"/>
    <w:rsid w:val="00C3565B"/>
    <w:rsid w:val="00C446DE"/>
    <w:rsid w:val="00C46C9C"/>
    <w:rsid w:val="00C5010F"/>
    <w:rsid w:val="00C641CE"/>
    <w:rsid w:val="00C70F14"/>
    <w:rsid w:val="00C7365F"/>
    <w:rsid w:val="00C8474D"/>
    <w:rsid w:val="00C92FD9"/>
    <w:rsid w:val="00C94B3F"/>
    <w:rsid w:val="00C96AFC"/>
    <w:rsid w:val="00C96EF5"/>
    <w:rsid w:val="00CA250B"/>
    <w:rsid w:val="00CB279C"/>
    <w:rsid w:val="00CD1A14"/>
    <w:rsid w:val="00CD3806"/>
    <w:rsid w:val="00CD66CE"/>
    <w:rsid w:val="00CE25A1"/>
    <w:rsid w:val="00CE68B9"/>
    <w:rsid w:val="00D0194F"/>
    <w:rsid w:val="00D045F9"/>
    <w:rsid w:val="00D3550B"/>
    <w:rsid w:val="00D41244"/>
    <w:rsid w:val="00D43106"/>
    <w:rsid w:val="00D50166"/>
    <w:rsid w:val="00D51017"/>
    <w:rsid w:val="00D55C2D"/>
    <w:rsid w:val="00D675CD"/>
    <w:rsid w:val="00D67CC1"/>
    <w:rsid w:val="00D742E2"/>
    <w:rsid w:val="00D92909"/>
    <w:rsid w:val="00DA1A05"/>
    <w:rsid w:val="00DA69F2"/>
    <w:rsid w:val="00DB0A50"/>
    <w:rsid w:val="00DB5A16"/>
    <w:rsid w:val="00DB6AFE"/>
    <w:rsid w:val="00DB7ABF"/>
    <w:rsid w:val="00E06FCC"/>
    <w:rsid w:val="00E322F2"/>
    <w:rsid w:val="00E326B2"/>
    <w:rsid w:val="00E34D7B"/>
    <w:rsid w:val="00E35194"/>
    <w:rsid w:val="00E3707A"/>
    <w:rsid w:val="00E409A4"/>
    <w:rsid w:val="00E47BBE"/>
    <w:rsid w:val="00E51D45"/>
    <w:rsid w:val="00E54641"/>
    <w:rsid w:val="00E54799"/>
    <w:rsid w:val="00E5654C"/>
    <w:rsid w:val="00E61F39"/>
    <w:rsid w:val="00E852AD"/>
    <w:rsid w:val="00EB1471"/>
    <w:rsid w:val="00EC1FF1"/>
    <w:rsid w:val="00ED285D"/>
    <w:rsid w:val="00ED79F9"/>
    <w:rsid w:val="00EF542F"/>
    <w:rsid w:val="00F46BA9"/>
    <w:rsid w:val="00F65C95"/>
    <w:rsid w:val="00F754EF"/>
    <w:rsid w:val="00F805FA"/>
    <w:rsid w:val="00F859CE"/>
    <w:rsid w:val="00F91FA1"/>
    <w:rsid w:val="00FA03B7"/>
    <w:rsid w:val="00FA2CCC"/>
    <w:rsid w:val="00FA4B03"/>
    <w:rsid w:val="00FA5BCC"/>
    <w:rsid w:val="00FC0B84"/>
    <w:rsid w:val="00FD12AA"/>
    <w:rsid w:val="00FD5505"/>
    <w:rsid w:val="00FF1278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4F0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4F0D"/>
    <w:rPr>
      <w:rFonts w:ascii="Lucida Grande CE" w:hAnsi="Lucida Grande CE" w:cs="Lucida Grande CE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28C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F3D6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3D63"/>
    <w:rPr>
      <w:color w:val="800080" w:themeColor="followedHyperlink"/>
      <w:u w:val="single"/>
    </w:rPr>
  </w:style>
  <w:style w:type="paragraph" w:customStyle="1" w:styleId="Normlnywebov4">
    <w:name w:val="Normálny (webový)4"/>
    <w:basedOn w:val="Normlny"/>
    <w:uiPriority w:val="99"/>
    <w:rsid w:val="007C33F9"/>
    <w:pPr>
      <w:spacing w:after="210"/>
    </w:pPr>
    <w:rPr>
      <w:rFonts w:ascii="Tahoma" w:eastAsia="Times New Roman" w:hAnsi="Tahoma" w:cs="Tahoma"/>
      <w:sz w:val="17"/>
      <w:szCs w:val="17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C92F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FD9"/>
  </w:style>
  <w:style w:type="paragraph" w:styleId="Pta">
    <w:name w:val="footer"/>
    <w:basedOn w:val="Normlny"/>
    <w:link w:val="PtaChar"/>
    <w:uiPriority w:val="99"/>
    <w:unhideWhenUsed/>
    <w:rsid w:val="00C92F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2FD9"/>
  </w:style>
  <w:style w:type="table" w:styleId="Mriekatabuky">
    <w:name w:val="Table Grid"/>
    <w:basedOn w:val="Normlnatabuka"/>
    <w:uiPriority w:val="59"/>
    <w:rsid w:val="001C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382"/>
    <w:pPr>
      <w:autoSpaceDE w:val="0"/>
      <w:autoSpaceDN w:val="0"/>
      <w:adjustRightInd w:val="0"/>
    </w:pPr>
    <w:rPr>
      <w:rFonts w:ascii="EUAlbertina" w:hAnsi="EUAlbertina" w:cs="EUAlbertina"/>
      <w:color w:val="000000"/>
      <w:lang w:val="sk-SK"/>
    </w:rPr>
  </w:style>
  <w:style w:type="paragraph" w:customStyle="1" w:styleId="CM1">
    <w:name w:val="CM1"/>
    <w:basedOn w:val="Default"/>
    <w:next w:val="Default"/>
    <w:uiPriority w:val="99"/>
    <w:rsid w:val="0096438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64382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64382"/>
    <w:rPr>
      <w:rFonts w:cstheme="minorBidi"/>
      <w:color w:val="auto"/>
    </w:rPr>
  </w:style>
  <w:style w:type="character" w:styleId="Odkaznakomentr">
    <w:name w:val="annotation reference"/>
    <w:basedOn w:val="Predvolenpsmoodseku"/>
    <w:uiPriority w:val="99"/>
    <w:semiHidden/>
    <w:unhideWhenUsed/>
    <w:rsid w:val="004B26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267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26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26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2676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2909"/>
  </w:style>
  <w:style w:type="paragraph" w:styleId="Zkladntext3">
    <w:name w:val="Body Text 3"/>
    <w:basedOn w:val="Normlny"/>
    <w:link w:val="Zkladntext3Char"/>
    <w:uiPriority w:val="99"/>
    <w:rsid w:val="001A7BF9"/>
    <w:pPr>
      <w:tabs>
        <w:tab w:val="left" w:pos="360"/>
      </w:tabs>
      <w:jc w:val="both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A7BF9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4F0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4F0D"/>
    <w:rPr>
      <w:rFonts w:ascii="Lucida Grande CE" w:hAnsi="Lucida Grande CE" w:cs="Lucida Grande CE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28C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F3D6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3D63"/>
    <w:rPr>
      <w:color w:val="800080" w:themeColor="followedHyperlink"/>
      <w:u w:val="single"/>
    </w:rPr>
  </w:style>
  <w:style w:type="paragraph" w:customStyle="1" w:styleId="Normlnywebov4">
    <w:name w:val="Normálny (webový)4"/>
    <w:basedOn w:val="Normlny"/>
    <w:uiPriority w:val="99"/>
    <w:rsid w:val="007C33F9"/>
    <w:pPr>
      <w:spacing w:after="210"/>
    </w:pPr>
    <w:rPr>
      <w:rFonts w:ascii="Tahoma" w:eastAsia="Times New Roman" w:hAnsi="Tahoma" w:cs="Tahoma"/>
      <w:sz w:val="17"/>
      <w:szCs w:val="17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C92F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FD9"/>
  </w:style>
  <w:style w:type="paragraph" w:styleId="Pta">
    <w:name w:val="footer"/>
    <w:basedOn w:val="Normlny"/>
    <w:link w:val="PtaChar"/>
    <w:uiPriority w:val="99"/>
    <w:unhideWhenUsed/>
    <w:rsid w:val="00C92F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2FD9"/>
  </w:style>
  <w:style w:type="table" w:styleId="Mriekatabuky">
    <w:name w:val="Table Grid"/>
    <w:basedOn w:val="Normlnatabuka"/>
    <w:uiPriority w:val="59"/>
    <w:rsid w:val="001C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382"/>
    <w:pPr>
      <w:autoSpaceDE w:val="0"/>
      <w:autoSpaceDN w:val="0"/>
      <w:adjustRightInd w:val="0"/>
    </w:pPr>
    <w:rPr>
      <w:rFonts w:ascii="EUAlbertina" w:hAnsi="EUAlbertina" w:cs="EUAlbertina"/>
      <w:color w:val="000000"/>
      <w:lang w:val="sk-SK"/>
    </w:rPr>
  </w:style>
  <w:style w:type="paragraph" w:customStyle="1" w:styleId="CM1">
    <w:name w:val="CM1"/>
    <w:basedOn w:val="Default"/>
    <w:next w:val="Default"/>
    <w:uiPriority w:val="99"/>
    <w:rsid w:val="0096438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64382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64382"/>
    <w:rPr>
      <w:rFonts w:cstheme="minorBidi"/>
      <w:color w:val="auto"/>
    </w:rPr>
  </w:style>
  <w:style w:type="character" w:styleId="Odkaznakomentr">
    <w:name w:val="annotation reference"/>
    <w:basedOn w:val="Predvolenpsmoodseku"/>
    <w:uiPriority w:val="99"/>
    <w:semiHidden/>
    <w:unhideWhenUsed/>
    <w:rsid w:val="004B26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267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26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26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2676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2909"/>
  </w:style>
  <w:style w:type="paragraph" w:styleId="Zkladntext3">
    <w:name w:val="Body Text 3"/>
    <w:basedOn w:val="Normlny"/>
    <w:link w:val="Zkladntext3Char"/>
    <w:uiPriority w:val="99"/>
    <w:rsid w:val="001A7BF9"/>
    <w:pPr>
      <w:tabs>
        <w:tab w:val="left" w:pos="360"/>
      </w:tabs>
      <w:jc w:val="both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A7BF9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xUriServ/LexUriServ.do?uri=OJ:L:2013%20:347:0320:0469:SK: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gal-content/EN/TXT/?uri=uriserv:OJ.L_.2014.193.01.0001.01.E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nd.gov.s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gal-content/sk/TXT/?uri=CELEX:32014R0807" TargetMode="External"/><Relationship Id="rId10" Type="http://schemas.openxmlformats.org/officeDocument/2006/relationships/hyperlink" Target="http://www.statnapomoc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a.sk/" TargetMode="External"/><Relationship Id="rId14" Type="http://schemas.openxmlformats.org/officeDocument/2006/relationships/hyperlink" Target="http://eur-lex.europa.eu/LexUriServ/LexUriServ.do?uri=OJ:L:2013:347:0487:0548:sk: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AF26-D287-41C1-9448-04A22974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4574</Words>
  <Characters>26074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Ruppová Eva</dc:creator>
  <cp:lastModifiedBy>Zacek, Alexander</cp:lastModifiedBy>
  <cp:revision>7</cp:revision>
  <cp:lastPrinted>2015-05-18T09:32:00Z</cp:lastPrinted>
  <dcterms:created xsi:type="dcterms:W3CDTF">2015-05-14T12:59:00Z</dcterms:created>
  <dcterms:modified xsi:type="dcterms:W3CDTF">2015-05-18T09:32:00Z</dcterms:modified>
</cp:coreProperties>
</file>